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1ED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bookmarkStart w:id="0" w:name="_GoBack"/>
      <w:bookmarkEnd w:id="0"/>
    </w:p>
    <w:p w14:paraId="3082EB82"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991A60E" w14:textId="77777777" w:rsidR="00800AA9" w:rsidRPr="00800AA9" w:rsidRDefault="00800AA9" w:rsidP="00C348A3">
      <w:pPr>
        <w:spacing w:before="0" w:after="0"/>
      </w:pPr>
      <w:r w:rsidRPr="00BB7F45">
        <w:rPr>
          <w:b/>
        </w:rPr>
        <w:t>Asiakirjan tunnus:</w:t>
      </w:r>
      <w:r w:rsidR="00A95D8B">
        <w:t xml:space="preserve"> </w:t>
      </w:r>
      <w:r w:rsidR="00B71E6B">
        <w:t>KT942</w:t>
      </w:r>
    </w:p>
    <w:p w14:paraId="539C3A08" w14:textId="724CF0D3" w:rsidR="00800AA9" w:rsidRDefault="00800AA9" w:rsidP="00C348A3">
      <w:pPr>
        <w:spacing w:before="0" w:after="0"/>
      </w:pPr>
      <w:r w:rsidRPr="00BB7F45">
        <w:rPr>
          <w:b/>
        </w:rPr>
        <w:t>Päivämäärä</w:t>
      </w:r>
      <w:r>
        <w:t xml:space="preserve">: </w:t>
      </w:r>
      <w:r w:rsidR="006C6CA3">
        <w:rPr>
          <w:color w:val="000000" w:themeColor="text1"/>
        </w:rPr>
        <w:t>25</w:t>
      </w:r>
      <w:r w:rsidR="00B71E6B">
        <w:t>.11.2024</w:t>
      </w:r>
    </w:p>
    <w:p w14:paraId="2B6B21AB"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47F77204" w14:textId="77777777" w:rsidR="00800AA9" w:rsidRPr="00633BBD" w:rsidRDefault="00DE60AA" w:rsidP="00800AA9">
      <w:pPr>
        <w:rPr>
          <w:rStyle w:val="Otsikko1Char"/>
          <w:b w:val="0"/>
          <w:sz w:val="20"/>
          <w:szCs w:val="20"/>
        </w:rPr>
      </w:pPr>
      <w:r>
        <w:rPr>
          <w:b/>
        </w:rPr>
        <w:pict w14:anchorId="6A865D40">
          <v:rect id="_x0000_i1025" style="width:0;height:1.5pt" o:hralign="center" o:hrstd="t" o:hr="t" fillcolor="#a0a0a0" stroked="f"/>
        </w:pict>
      </w:r>
    </w:p>
    <w:p w14:paraId="7ADDD592" w14:textId="1B1C2705" w:rsidR="008020E6" w:rsidRPr="00B71E6B" w:rsidRDefault="00DE60AA" w:rsidP="008660EB">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A1951DE9BA514F9BBCD94F333651430B"/>
          </w:placeholder>
          <w:text/>
        </w:sdtPr>
        <w:sdtEndPr>
          <w:rPr>
            <w:rStyle w:val="Otsikko1Char"/>
          </w:rPr>
        </w:sdtEndPr>
        <w:sdtContent>
          <w:r w:rsidR="00670190">
            <w:rPr>
              <w:rStyle w:val="Otsikko1Char"/>
              <w:rFonts w:cs="Times New Roman"/>
              <w:b/>
              <w:szCs w:val="24"/>
              <w:lang w:val="en-US"/>
            </w:rPr>
            <w:t>Venezuela / CICPC-</w:t>
          </w:r>
          <w:proofErr w:type="spellStart"/>
          <w:r w:rsidR="00670190">
            <w:rPr>
              <w:rStyle w:val="Otsikko1Char"/>
              <w:rFonts w:cs="Times New Roman"/>
              <w:b/>
              <w:szCs w:val="24"/>
              <w:lang w:val="en-US"/>
            </w:rPr>
            <w:t>joukot</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Otsikko1Char"/>
        </w:rPr>
      </w:sdtEndPr>
      <w:sdtContent>
        <w:p w14:paraId="2B57453D" w14:textId="3CEA4DD4" w:rsidR="00082DFE" w:rsidRPr="00B71E6B" w:rsidRDefault="00670190" w:rsidP="008660EB">
          <w:pPr>
            <w:pStyle w:val="POTSIKKO"/>
            <w:rPr>
              <w:lang w:val="en-US"/>
            </w:rPr>
          </w:pPr>
          <w:r>
            <w:rPr>
              <w:rStyle w:val="Otsikko1Char"/>
              <w:rFonts w:cs="Times New Roman"/>
              <w:b/>
              <w:szCs w:val="24"/>
              <w:lang w:val="en-US"/>
            </w:rPr>
            <w:t xml:space="preserve">Venezuela / The </w:t>
          </w:r>
          <w:r w:rsidR="00212A27">
            <w:rPr>
              <w:rStyle w:val="Otsikko1Char"/>
              <w:rFonts w:cs="Times New Roman"/>
              <w:b/>
              <w:szCs w:val="24"/>
              <w:lang w:val="en-US"/>
            </w:rPr>
            <w:t>CICPC</w:t>
          </w:r>
          <w:r>
            <w:rPr>
              <w:rStyle w:val="Otsikko1Char"/>
              <w:rFonts w:cs="Times New Roman"/>
              <w:b/>
              <w:szCs w:val="24"/>
              <w:lang w:val="en-US"/>
            </w:rPr>
            <w:t xml:space="preserve"> forces</w:t>
          </w:r>
        </w:p>
      </w:sdtContent>
    </w:sdt>
    <w:p w14:paraId="4E081119" w14:textId="77777777" w:rsidR="00082DFE" w:rsidRDefault="00DE60AA" w:rsidP="00082DFE">
      <w:pPr>
        <w:rPr>
          <w:b/>
        </w:rPr>
      </w:pPr>
      <w:r>
        <w:rPr>
          <w:b/>
        </w:rPr>
        <w:pict w14:anchorId="3FB452DF">
          <v:rect id="_x0000_i1026" style="width:0;height:1.5pt" o:hralign="center" o:hrstd="t" o:hr="t" fillcolor="#a0a0a0" stroked="f"/>
        </w:pict>
      </w:r>
    </w:p>
    <w:p w14:paraId="2684C10D"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sdt>
          <w:sdtPr>
            <w:rPr>
              <w:rStyle w:val="KysymyksetChar"/>
              <w:lang w:val="en-US"/>
            </w:rPr>
            <w:alias w:val="Questions"/>
            <w:tag w:val="Fill in the questions here"/>
            <w:id w:val="353243802"/>
            <w:placeholder>
              <w:docPart w:val="50DFC579E42946E3BEF6ED9B0D8B0E62"/>
            </w:placeholder>
            <w:text w:multiLine="1"/>
          </w:sdtPr>
          <w:sdtEndPr>
            <w:rPr>
              <w:rStyle w:val="KysymyksetChar"/>
            </w:rPr>
          </w:sdtEndPr>
          <w:sdtContent>
            <w:p w14:paraId="4DEEE8D0" w14:textId="607250B1" w:rsidR="00810134" w:rsidRPr="006C6CA3" w:rsidRDefault="00670190" w:rsidP="006C6CA3">
              <w:pPr>
                <w:pStyle w:val="Lainaus"/>
                <w:numPr>
                  <w:ilvl w:val="0"/>
                  <w:numId w:val="35"/>
                </w:numPr>
                <w:jc w:val="left"/>
                <w:rPr>
                  <w:i w:val="0"/>
                  <w:iCs w:val="0"/>
                  <w:color w:val="000000" w:themeColor="text1"/>
                  <w:lang w:val="en-US"/>
                </w:rPr>
              </w:pPr>
              <w:proofErr w:type="spellStart"/>
              <w:r w:rsidRPr="006C6CA3">
                <w:rPr>
                  <w:rStyle w:val="KysymyksetChar"/>
                  <w:lang w:val="en-US"/>
                </w:rPr>
                <w:t>Tiivis</w:t>
              </w:r>
              <w:proofErr w:type="spellEnd"/>
              <w:r w:rsidRPr="006C6CA3">
                <w:rPr>
                  <w:rStyle w:val="KysymyksetChar"/>
                  <w:lang w:val="en-US"/>
                </w:rPr>
                <w:t xml:space="preserve"> </w:t>
              </w:r>
              <w:proofErr w:type="spellStart"/>
              <w:r w:rsidRPr="006C6CA3">
                <w:rPr>
                  <w:rStyle w:val="KysymyksetChar"/>
                  <w:lang w:val="en-US"/>
                </w:rPr>
                <w:t>kuvaus</w:t>
              </w:r>
              <w:proofErr w:type="spellEnd"/>
              <w:r w:rsidRPr="006C6CA3">
                <w:rPr>
                  <w:rStyle w:val="KysymyksetChar"/>
                  <w:lang w:val="en-US"/>
                </w:rPr>
                <w:t xml:space="preserve"> CICPC (</w:t>
              </w:r>
              <w:proofErr w:type="spellStart"/>
              <w:r w:rsidRPr="006C6CA3">
                <w:rPr>
                  <w:rStyle w:val="KysymyksetChar"/>
                  <w:lang w:val="en-US"/>
                </w:rPr>
                <w:t>Cuerpo</w:t>
              </w:r>
              <w:proofErr w:type="spellEnd"/>
              <w:r w:rsidRPr="006C6CA3">
                <w:rPr>
                  <w:rStyle w:val="KysymyksetChar"/>
                  <w:lang w:val="en-US"/>
                </w:rPr>
                <w:t xml:space="preserve"> de </w:t>
              </w:r>
              <w:proofErr w:type="spellStart"/>
              <w:r w:rsidRPr="006C6CA3">
                <w:rPr>
                  <w:rStyle w:val="KysymyksetChar"/>
                  <w:lang w:val="en-US"/>
                </w:rPr>
                <w:t>Investigaciones</w:t>
              </w:r>
              <w:proofErr w:type="spellEnd"/>
              <w:r w:rsidRPr="006C6CA3">
                <w:rPr>
                  <w:rStyle w:val="KysymyksetChar"/>
                  <w:lang w:val="en-US"/>
                </w:rPr>
                <w:t xml:space="preserve"> </w:t>
              </w:r>
              <w:proofErr w:type="spellStart"/>
              <w:r w:rsidRPr="006C6CA3">
                <w:rPr>
                  <w:rStyle w:val="KysymyksetChar"/>
                  <w:lang w:val="en-US"/>
                </w:rPr>
                <w:t>Científicas</w:t>
              </w:r>
              <w:proofErr w:type="spellEnd"/>
              <w:r w:rsidRPr="006C6CA3">
                <w:rPr>
                  <w:rStyle w:val="KysymyksetChar"/>
                  <w:lang w:val="en-US"/>
                </w:rPr>
                <w:t xml:space="preserve">, </w:t>
              </w:r>
              <w:proofErr w:type="spellStart"/>
              <w:r w:rsidRPr="006C6CA3">
                <w:rPr>
                  <w:rStyle w:val="KysymyksetChar"/>
                  <w:lang w:val="en-US"/>
                </w:rPr>
                <w:t>Penales</w:t>
              </w:r>
              <w:proofErr w:type="spellEnd"/>
              <w:r w:rsidRPr="006C6CA3">
                <w:rPr>
                  <w:rStyle w:val="KysymyksetChar"/>
                  <w:lang w:val="en-US"/>
                </w:rPr>
                <w:t xml:space="preserve"> y </w:t>
              </w:r>
              <w:proofErr w:type="spellStart"/>
              <w:r w:rsidRPr="006C6CA3">
                <w:rPr>
                  <w:rStyle w:val="KysymyksetChar"/>
                  <w:lang w:val="en-US"/>
                </w:rPr>
                <w:t>Criminalísticas</w:t>
              </w:r>
              <w:proofErr w:type="spellEnd"/>
              <w:r w:rsidRPr="006C6CA3">
                <w:rPr>
                  <w:rStyle w:val="KysymyksetChar"/>
                  <w:lang w:val="en-US"/>
                </w:rPr>
                <w:t>) -</w:t>
              </w:r>
              <w:proofErr w:type="spellStart"/>
              <w:r w:rsidRPr="006C6CA3">
                <w:rPr>
                  <w:rStyle w:val="KysymyksetChar"/>
                  <w:lang w:val="en-US"/>
                </w:rPr>
                <w:t>joukoista</w:t>
              </w:r>
              <w:proofErr w:type="spellEnd"/>
            </w:p>
          </w:sdtContent>
        </w:sdt>
      </w:sdtContent>
    </w:sdt>
    <w:p w14:paraId="61664C47" w14:textId="77777777" w:rsidR="00082DFE" w:rsidRPr="00D04892" w:rsidRDefault="00082DFE" w:rsidP="00C348A3">
      <w:pPr>
        <w:pStyle w:val="Numeroimatonotsikko"/>
        <w:rPr>
          <w:lang w:val="en-US"/>
        </w:rPr>
      </w:pPr>
      <w:r w:rsidRPr="00D04892">
        <w:rPr>
          <w:lang w:val="en-US"/>
        </w:rPr>
        <w:t>Questions</w:t>
      </w:r>
    </w:p>
    <w:sdt>
      <w:sdtPr>
        <w:rPr>
          <w:rStyle w:val="KysymyksetChar"/>
          <w:lang w:val="en-GB"/>
        </w:rPr>
        <w:alias w:val="Questions"/>
        <w:tag w:val="Fill in the questions here"/>
        <w:id w:val="-849104524"/>
        <w:lock w:val="sdtLocked"/>
        <w:placeholder>
          <w:docPart w:val="55400580FB4E445A924E4F7EF6732EA1"/>
        </w:placeholder>
        <w:text w:multiLine="1"/>
      </w:sdtPr>
      <w:sdtEndPr>
        <w:rPr>
          <w:rStyle w:val="KysymyksetChar"/>
        </w:rPr>
      </w:sdtEndPr>
      <w:sdtContent>
        <w:p w14:paraId="2C891C08" w14:textId="6FFE4A20" w:rsidR="00082DFE" w:rsidRPr="00B71E6B" w:rsidRDefault="00670190" w:rsidP="006C6CA3">
          <w:pPr>
            <w:pStyle w:val="Lainaus"/>
            <w:numPr>
              <w:ilvl w:val="0"/>
              <w:numId w:val="36"/>
            </w:numPr>
            <w:jc w:val="left"/>
            <w:rPr>
              <w:rStyle w:val="KysymyksetChar"/>
              <w:lang w:val="en-US"/>
            </w:rPr>
          </w:pPr>
          <w:r>
            <w:rPr>
              <w:rStyle w:val="KysymyksetChar"/>
              <w:lang w:val="en-GB"/>
            </w:rPr>
            <w:t>A brief description of the CICPC (</w:t>
          </w:r>
          <w:proofErr w:type="spellStart"/>
          <w:r>
            <w:rPr>
              <w:rStyle w:val="KysymyksetChar"/>
              <w:lang w:val="en-GB"/>
            </w:rPr>
            <w:t>Cuerpo</w:t>
          </w:r>
          <w:proofErr w:type="spellEnd"/>
          <w:r>
            <w:rPr>
              <w:rStyle w:val="KysymyksetChar"/>
              <w:lang w:val="en-GB"/>
            </w:rPr>
            <w:t xml:space="preserve"> de </w:t>
          </w:r>
          <w:proofErr w:type="spellStart"/>
          <w:r>
            <w:rPr>
              <w:rStyle w:val="KysymyksetChar"/>
              <w:lang w:val="en-GB"/>
            </w:rPr>
            <w:t>Investigaciones</w:t>
          </w:r>
          <w:proofErr w:type="spellEnd"/>
          <w:r>
            <w:rPr>
              <w:rStyle w:val="KysymyksetChar"/>
              <w:lang w:val="en-GB"/>
            </w:rPr>
            <w:t xml:space="preserve"> </w:t>
          </w:r>
          <w:proofErr w:type="spellStart"/>
          <w:r>
            <w:rPr>
              <w:rStyle w:val="KysymyksetChar"/>
              <w:lang w:val="en-GB"/>
            </w:rPr>
            <w:t>Científicas</w:t>
          </w:r>
          <w:proofErr w:type="spellEnd"/>
          <w:r>
            <w:rPr>
              <w:rStyle w:val="KysymyksetChar"/>
              <w:lang w:val="en-GB"/>
            </w:rPr>
            <w:t xml:space="preserve">, </w:t>
          </w:r>
          <w:proofErr w:type="spellStart"/>
          <w:r>
            <w:rPr>
              <w:rStyle w:val="KysymyksetChar"/>
              <w:lang w:val="en-GB"/>
            </w:rPr>
            <w:t>Penales</w:t>
          </w:r>
          <w:proofErr w:type="spellEnd"/>
          <w:r>
            <w:rPr>
              <w:rStyle w:val="KysymyksetChar"/>
              <w:lang w:val="en-GB"/>
            </w:rPr>
            <w:t xml:space="preserve"> y </w:t>
          </w:r>
          <w:proofErr w:type="spellStart"/>
          <w:r>
            <w:rPr>
              <w:rStyle w:val="KysymyksetChar"/>
              <w:lang w:val="en-GB"/>
            </w:rPr>
            <w:t>Criminalísticas</w:t>
          </w:r>
          <w:proofErr w:type="spellEnd"/>
          <w:r>
            <w:rPr>
              <w:rStyle w:val="KysymyksetChar"/>
              <w:lang w:val="en-GB"/>
            </w:rPr>
            <w:t>) forces</w:t>
          </w:r>
        </w:p>
      </w:sdtContent>
    </w:sdt>
    <w:p w14:paraId="23052963" w14:textId="77777777" w:rsidR="00082DFE" w:rsidRPr="00082DFE" w:rsidRDefault="00DE60AA" w:rsidP="00082DFE">
      <w:pPr>
        <w:pStyle w:val="LeiptekstiMigri"/>
        <w:ind w:left="0"/>
        <w:rPr>
          <w:lang w:val="en-GB"/>
        </w:rPr>
      </w:pPr>
      <w:r>
        <w:rPr>
          <w:b/>
        </w:rPr>
        <w:pict w14:anchorId="03DC1347">
          <v:rect id="_x0000_i1027" style="width:0;height:1.5pt" o:hralign="center" o:hrstd="t" o:hr="t" fillcolor="#a0a0a0" stroked="f"/>
        </w:pict>
      </w:r>
    </w:p>
    <w:p w14:paraId="72F15240" w14:textId="2940AF08" w:rsidR="00273C5C" w:rsidRPr="006C6CA3" w:rsidRDefault="00B71E6B" w:rsidP="006C6CA3">
      <w:pPr>
        <w:pStyle w:val="POTSIKKO"/>
        <w:numPr>
          <w:ilvl w:val="0"/>
          <w:numId w:val="38"/>
        </w:numPr>
        <w:rPr>
          <w:rStyle w:val="KysymyksetChar"/>
          <w:sz w:val="28"/>
          <w:lang w:val="en-US"/>
        </w:rPr>
      </w:pPr>
      <w:proofErr w:type="spellStart"/>
      <w:r w:rsidRPr="006C6CA3">
        <w:rPr>
          <w:rStyle w:val="KysymyksetChar"/>
          <w:sz w:val="28"/>
          <w:lang w:val="en-US"/>
        </w:rPr>
        <w:t>Tiivis</w:t>
      </w:r>
      <w:proofErr w:type="spellEnd"/>
      <w:r w:rsidRPr="006C6CA3">
        <w:rPr>
          <w:rStyle w:val="KysymyksetChar"/>
          <w:sz w:val="28"/>
          <w:lang w:val="en-US"/>
        </w:rPr>
        <w:t xml:space="preserve"> </w:t>
      </w:r>
      <w:proofErr w:type="spellStart"/>
      <w:r w:rsidRPr="006C6CA3">
        <w:rPr>
          <w:rStyle w:val="KysymyksetChar"/>
          <w:sz w:val="28"/>
          <w:lang w:val="en-US"/>
        </w:rPr>
        <w:t>kuvaus</w:t>
      </w:r>
      <w:proofErr w:type="spellEnd"/>
      <w:r w:rsidRPr="006C6CA3">
        <w:rPr>
          <w:rStyle w:val="KysymyksetChar"/>
          <w:sz w:val="28"/>
          <w:lang w:val="en-US"/>
        </w:rPr>
        <w:t xml:space="preserve"> CICPC (</w:t>
      </w:r>
      <w:proofErr w:type="spellStart"/>
      <w:r w:rsidRPr="006C6CA3">
        <w:rPr>
          <w:lang w:val="en-US"/>
        </w:rPr>
        <w:t>Cuerpo</w:t>
      </w:r>
      <w:proofErr w:type="spellEnd"/>
      <w:r w:rsidRPr="006C6CA3">
        <w:rPr>
          <w:lang w:val="en-US"/>
        </w:rPr>
        <w:t xml:space="preserve"> de </w:t>
      </w:r>
      <w:proofErr w:type="spellStart"/>
      <w:r w:rsidRPr="006C6CA3">
        <w:rPr>
          <w:lang w:val="en-US"/>
        </w:rPr>
        <w:t>Investigaciones</w:t>
      </w:r>
      <w:proofErr w:type="spellEnd"/>
      <w:r w:rsidRPr="006C6CA3">
        <w:rPr>
          <w:lang w:val="en-US"/>
        </w:rPr>
        <w:t xml:space="preserve"> </w:t>
      </w:r>
      <w:proofErr w:type="spellStart"/>
      <w:r w:rsidRPr="006C6CA3">
        <w:rPr>
          <w:lang w:val="en-US"/>
        </w:rPr>
        <w:t>Científicas</w:t>
      </w:r>
      <w:proofErr w:type="spellEnd"/>
      <w:r w:rsidRPr="006C6CA3">
        <w:rPr>
          <w:lang w:val="en-US"/>
        </w:rPr>
        <w:t xml:space="preserve">, </w:t>
      </w:r>
      <w:proofErr w:type="spellStart"/>
      <w:r w:rsidRPr="006C6CA3">
        <w:rPr>
          <w:lang w:val="en-US"/>
        </w:rPr>
        <w:t>Penales</w:t>
      </w:r>
      <w:proofErr w:type="spellEnd"/>
      <w:r w:rsidRPr="006C6CA3">
        <w:rPr>
          <w:lang w:val="en-US"/>
        </w:rPr>
        <w:t xml:space="preserve"> y </w:t>
      </w:r>
      <w:proofErr w:type="spellStart"/>
      <w:r w:rsidRPr="006C6CA3">
        <w:rPr>
          <w:lang w:val="en-US"/>
        </w:rPr>
        <w:t>Criminalísticas</w:t>
      </w:r>
      <w:proofErr w:type="spellEnd"/>
      <w:r w:rsidRPr="006C6CA3">
        <w:rPr>
          <w:lang w:val="en-US"/>
        </w:rPr>
        <w:t>) -</w:t>
      </w:r>
      <w:proofErr w:type="spellStart"/>
      <w:r w:rsidRPr="006C6CA3">
        <w:rPr>
          <w:lang w:val="en-US"/>
        </w:rPr>
        <w:t>joukoista</w:t>
      </w:r>
      <w:proofErr w:type="spellEnd"/>
    </w:p>
    <w:p w14:paraId="2EED55C4" w14:textId="2D54CCFF" w:rsidR="00771BA9" w:rsidRPr="00ED6678" w:rsidRDefault="00F53792" w:rsidP="00A95D8B">
      <w:pPr>
        <w:rPr>
          <w:color w:val="000000" w:themeColor="text1"/>
        </w:rPr>
      </w:pPr>
      <w:r w:rsidRPr="00F53792">
        <w:t>Venezuelan turvallisuusviranomaisten toimintaa on kä</w:t>
      </w:r>
      <w:r>
        <w:t>sitelty</w:t>
      </w:r>
      <w:r w:rsidR="00771BA9">
        <w:t xml:space="preserve"> myös</w:t>
      </w:r>
      <w:r>
        <w:t xml:space="preserve"> Maahanmuuttoviraston maatietopalvelun 21.3.2023 julkaisemassa kyselyvastauksessa </w:t>
      </w:r>
      <w:r w:rsidRPr="00771BA9">
        <w:rPr>
          <w:i/>
        </w:rPr>
        <w:t>”</w:t>
      </w:r>
      <w:r w:rsidR="00771BA9" w:rsidRPr="00771BA9">
        <w:rPr>
          <w:i/>
        </w:rPr>
        <w:t xml:space="preserve">Venezuela / FAES ja oikeudenloukkaukset, </w:t>
      </w:r>
      <w:proofErr w:type="spellStart"/>
      <w:r w:rsidR="00771BA9" w:rsidRPr="00771BA9">
        <w:rPr>
          <w:i/>
        </w:rPr>
        <w:t>Acción</w:t>
      </w:r>
      <w:proofErr w:type="spellEnd"/>
      <w:r w:rsidR="00771BA9" w:rsidRPr="00771BA9">
        <w:rPr>
          <w:i/>
        </w:rPr>
        <w:t xml:space="preserve"> </w:t>
      </w:r>
      <w:proofErr w:type="spellStart"/>
      <w:r w:rsidR="00771BA9" w:rsidRPr="00771BA9">
        <w:rPr>
          <w:i/>
        </w:rPr>
        <w:t>Democrática</w:t>
      </w:r>
      <w:proofErr w:type="spellEnd"/>
      <w:r w:rsidR="00771BA9" w:rsidRPr="00771BA9">
        <w:rPr>
          <w:i/>
        </w:rPr>
        <w:t xml:space="preserve"> -puolue, </w:t>
      </w:r>
      <w:proofErr w:type="spellStart"/>
      <w:r w:rsidR="00771BA9" w:rsidRPr="00771BA9">
        <w:rPr>
          <w:i/>
        </w:rPr>
        <w:t>Voluntad</w:t>
      </w:r>
      <w:proofErr w:type="spellEnd"/>
      <w:r w:rsidR="00771BA9" w:rsidRPr="00771BA9">
        <w:rPr>
          <w:i/>
        </w:rPr>
        <w:t xml:space="preserve"> </w:t>
      </w:r>
      <w:proofErr w:type="spellStart"/>
      <w:r w:rsidR="00771BA9" w:rsidRPr="00771BA9">
        <w:rPr>
          <w:i/>
        </w:rPr>
        <w:t>Popular</w:t>
      </w:r>
      <w:proofErr w:type="spellEnd"/>
      <w:r w:rsidR="00771BA9" w:rsidRPr="00771BA9">
        <w:rPr>
          <w:i/>
        </w:rPr>
        <w:t xml:space="preserve"> -puolue”</w:t>
      </w:r>
      <w:r w:rsidR="00771BA9" w:rsidRPr="00771BA9">
        <w:t>.</w:t>
      </w:r>
      <w:r w:rsidR="00771BA9">
        <w:rPr>
          <w:rStyle w:val="Alaviitteenviite"/>
        </w:rPr>
        <w:footnoteReference w:id="1"/>
      </w:r>
      <w:r w:rsidR="00D04892">
        <w:t xml:space="preserve"> </w:t>
      </w:r>
      <w:r w:rsidR="00D04892" w:rsidRPr="003E75CC">
        <w:rPr>
          <w:color w:val="000000" w:themeColor="text1"/>
        </w:rPr>
        <w:t xml:space="preserve">Lisäksi </w:t>
      </w:r>
      <w:r w:rsidR="00681B11">
        <w:rPr>
          <w:color w:val="000000" w:themeColor="text1"/>
        </w:rPr>
        <w:t>viranomaisten oikeudenloukkauksia ja</w:t>
      </w:r>
      <w:r w:rsidR="003E75CC" w:rsidRPr="003E75CC">
        <w:rPr>
          <w:color w:val="000000" w:themeColor="text1"/>
        </w:rPr>
        <w:t xml:space="preserve"> viranomaissuojelun saatavuutta on käsitelty </w:t>
      </w:r>
      <w:r w:rsidR="00681B11">
        <w:rPr>
          <w:color w:val="000000" w:themeColor="text1"/>
        </w:rPr>
        <w:t xml:space="preserve">mm. </w:t>
      </w:r>
      <w:r w:rsidR="003E75CC" w:rsidRPr="003E75CC">
        <w:rPr>
          <w:color w:val="000000" w:themeColor="text1"/>
        </w:rPr>
        <w:t xml:space="preserve">maatietopalvelun </w:t>
      </w:r>
      <w:r w:rsidR="00681B11">
        <w:rPr>
          <w:color w:val="000000" w:themeColor="text1"/>
        </w:rPr>
        <w:t>6.11.2019 ja 29.8.2019</w:t>
      </w:r>
      <w:r w:rsidR="003E75CC" w:rsidRPr="003E75CC">
        <w:rPr>
          <w:color w:val="000000" w:themeColor="text1"/>
        </w:rPr>
        <w:t xml:space="preserve"> julkaisemissa kyselyvastauksissa.</w:t>
      </w:r>
      <w:r w:rsidR="000E6A41" w:rsidRPr="003E75CC">
        <w:rPr>
          <w:rStyle w:val="Alaviitteenviite"/>
          <w:color w:val="000000" w:themeColor="text1"/>
        </w:rPr>
        <w:footnoteReference w:id="2"/>
      </w:r>
      <w:r w:rsidR="00D04892" w:rsidRPr="003E75CC">
        <w:rPr>
          <w:color w:val="000000" w:themeColor="text1"/>
        </w:rPr>
        <w:t xml:space="preserve"> </w:t>
      </w:r>
      <w:r w:rsidR="00580DD4" w:rsidRPr="00ED6678">
        <w:rPr>
          <w:color w:val="000000" w:themeColor="text1"/>
        </w:rPr>
        <w:t xml:space="preserve">Euroopan turvapaikkaviraston (EUAA) marraskuussa 2023 julkaisemassa raportissa käsitellään </w:t>
      </w:r>
      <w:proofErr w:type="spellStart"/>
      <w:r w:rsidR="00580DD4" w:rsidRPr="00ED6678">
        <w:rPr>
          <w:color w:val="000000" w:themeColor="text1"/>
        </w:rPr>
        <w:t>CICPC:tä</w:t>
      </w:r>
      <w:proofErr w:type="spellEnd"/>
      <w:r w:rsidR="00580DD4" w:rsidRPr="00ED6678">
        <w:rPr>
          <w:color w:val="000000" w:themeColor="text1"/>
        </w:rPr>
        <w:t xml:space="preserve"> ja </w:t>
      </w:r>
      <w:r w:rsidR="00ED6678">
        <w:rPr>
          <w:color w:val="000000" w:themeColor="text1"/>
        </w:rPr>
        <w:t>sen joukkoihin</w:t>
      </w:r>
      <w:r w:rsidR="00580DD4" w:rsidRPr="00ED6678">
        <w:rPr>
          <w:color w:val="000000" w:themeColor="text1"/>
        </w:rPr>
        <w:t xml:space="preserve"> </w:t>
      </w:r>
      <w:r w:rsidR="00ED6678">
        <w:rPr>
          <w:color w:val="000000" w:themeColor="text1"/>
        </w:rPr>
        <w:t xml:space="preserve">yhdistettyjä </w:t>
      </w:r>
      <w:r w:rsidR="00580DD4" w:rsidRPr="00ED6678">
        <w:rPr>
          <w:color w:val="000000" w:themeColor="text1"/>
        </w:rPr>
        <w:t>oikeudenloukkauksia.</w:t>
      </w:r>
      <w:r w:rsidR="00580DD4" w:rsidRPr="00ED6678">
        <w:rPr>
          <w:rStyle w:val="Alaviitteenviite"/>
          <w:color w:val="000000" w:themeColor="text1"/>
        </w:rPr>
        <w:footnoteReference w:id="3"/>
      </w:r>
    </w:p>
    <w:p w14:paraId="7EBE0EDB" w14:textId="3C25DAA7" w:rsidR="00501BA0" w:rsidRDefault="00B71E6B" w:rsidP="000230CD">
      <w:pPr>
        <w:rPr>
          <w:color w:val="FF0000"/>
        </w:rPr>
      </w:pPr>
      <w:r w:rsidRPr="002F0090">
        <w:rPr>
          <w:lang w:val="en-US"/>
        </w:rPr>
        <w:t>CICPC (</w:t>
      </w:r>
      <w:proofErr w:type="spellStart"/>
      <w:r w:rsidRPr="002F0090">
        <w:rPr>
          <w:i/>
          <w:lang w:val="en-US"/>
        </w:rPr>
        <w:t>Cuerpo</w:t>
      </w:r>
      <w:proofErr w:type="spellEnd"/>
      <w:r w:rsidRPr="002F0090">
        <w:rPr>
          <w:i/>
          <w:lang w:val="en-US"/>
        </w:rPr>
        <w:t xml:space="preserve"> de </w:t>
      </w:r>
      <w:proofErr w:type="spellStart"/>
      <w:r w:rsidRPr="002F0090">
        <w:rPr>
          <w:i/>
          <w:lang w:val="en-US"/>
        </w:rPr>
        <w:t>Investigaciones</w:t>
      </w:r>
      <w:proofErr w:type="spellEnd"/>
      <w:r w:rsidRPr="002F0090">
        <w:rPr>
          <w:i/>
          <w:lang w:val="en-US"/>
        </w:rPr>
        <w:t xml:space="preserve"> </w:t>
      </w:r>
      <w:proofErr w:type="spellStart"/>
      <w:r w:rsidRPr="002F0090">
        <w:rPr>
          <w:i/>
          <w:lang w:val="en-US"/>
        </w:rPr>
        <w:t>Científicas</w:t>
      </w:r>
      <w:proofErr w:type="spellEnd"/>
      <w:r w:rsidRPr="002F0090">
        <w:rPr>
          <w:i/>
          <w:lang w:val="en-US"/>
        </w:rPr>
        <w:t xml:space="preserve">, </w:t>
      </w:r>
      <w:proofErr w:type="spellStart"/>
      <w:r w:rsidRPr="002F0090">
        <w:rPr>
          <w:i/>
          <w:lang w:val="en-US"/>
        </w:rPr>
        <w:t>Penales</w:t>
      </w:r>
      <w:proofErr w:type="spellEnd"/>
      <w:r w:rsidRPr="002F0090">
        <w:rPr>
          <w:i/>
          <w:lang w:val="en-US"/>
        </w:rPr>
        <w:t xml:space="preserve"> y </w:t>
      </w:r>
      <w:proofErr w:type="spellStart"/>
      <w:r w:rsidRPr="002F0090">
        <w:rPr>
          <w:i/>
          <w:lang w:val="en-US"/>
        </w:rPr>
        <w:t>Criminalísticas</w:t>
      </w:r>
      <w:proofErr w:type="spellEnd"/>
      <w:r w:rsidRPr="002F0090">
        <w:rPr>
          <w:lang w:val="en-US"/>
        </w:rPr>
        <w:t xml:space="preserve">, </w:t>
      </w:r>
      <w:proofErr w:type="spellStart"/>
      <w:r w:rsidRPr="002F0090">
        <w:rPr>
          <w:lang w:val="en-US"/>
        </w:rPr>
        <w:t>engl.</w:t>
      </w:r>
      <w:proofErr w:type="spellEnd"/>
      <w:r w:rsidRPr="002F0090">
        <w:rPr>
          <w:lang w:val="en-US"/>
        </w:rPr>
        <w:t xml:space="preserve"> </w:t>
      </w:r>
      <w:proofErr w:type="spellStart"/>
      <w:r w:rsidRPr="00812AF8">
        <w:rPr>
          <w:i/>
        </w:rPr>
        <w:t>Scientific</w:t>
      </w:r>
      <w:proofErr w:type="spellEnd"/>
      <w:r w:rsidRPr="00812AF8">
        <w:rPr>
          <w:i/>
        </w:rPr>
        <w:t xml:space="preserve">, </w:t>
      </w:r>
      <w:proofErr w:type="spellStart"/>
      <w:r w:rsidRPr="00812AF8">
        <w:rPr>
          <w:i/>
        </w:rPr>
        <w:t>Criminal</w:t>
      </w:r>
      <w:proofErr w:type="spellEnd"/>
      <w:r w:rsidRPr="00812AF8">
        <w:rPr>
          <w:i/>
        </w:rPr>
        <w:t xml:space="preserve"> and </w:t>
      </w:r>
      <w:proofErr w:type="spellStart"/>
      <w:r w:rsidRPr="00812AF8">
        <w:rPr>
          <w:i/>
        </w:rPr>
        <w:t>Criminalistic</w:t>
      </w:r>
      <w:proofErr w:type="spellEnd"/>
      <w:r w:rsidRPr="00812AF8">
        <w:rPr>
          <w:i/>
        </w:rPr>
        <w:t xml:space="preserve"> </w:t>
      </w:r>
      <w:proofErr w:type="spellStart"/>
      <w:r w:rsidRPr="00812AF8">
        <w:rPr>
          <w:i/>
        </w:rPr>
        <w:t>Investigations</w:t>
      </w:r>
      <w:proofErr w:type="spellEnd"/>
      <w:r w:rsidRPr="00812AF8">
        <w:rPr>
          <w:i/>
        </w:rPr>
        <w:t xml:space="preserve"> </w:t>
      </w:r>
      <w:proofErr w:type="spellStart"/>
      <w:r w:rsidRPr="00812AF8">
        <w:rPr>
          <w:i/>
        </w:rPr>
        <w:t>Corps</w:t>
      </w:r>
      <w:proofErr w:type="spellEnd"/>
      <w:r w:rsidRPr="00812AF8">
        <w:t xml:space="preserve">) on </w:t>
      </w:r>
      <w:r w:rsidRPr="00812AF8">
        <w:rPr>
          <w:color w:val="000000" w:themeColor="text1"/>
        </w:rPr>
        <w:t xml:space="preserve">Venezuelan </w:t>
      </w:r>
      <w:r w:rsidR="00812AF8" w:rsidRPr="00812AF8">
        <w:rPr>
          <w:color w:val="000000" w:themeColor="text1"/>
        </w:rPr>
        <w:t>kansallinen rikostutki</w:t>
      </w:r>
      <w:r w:rsidR="00DD0F85">
        <w:rPr>
          <w:color w:val="000000" w:themeColor="text1"/>
        </w:rPr>
        <w:t>nnoista vastaava</w:t>
      </w:r>
      <w:r w:rsidR="00812AF8" w:rsidRPr="00812AF8">
        <w:rPr>
          <w:color w:val="000000" w:themeColor="text1"/>
        </w:rPr>
        <w:t xml:space="preserve"> </w:t>
      </w:r>
      <w:r w:rsidR="006C6CA3">
        <w:rPr>
          <w:color w:val="000000" w:themeColor="text1"/>
        </w:rPr>
        <w:t>rikostutkintayksikkö</w:t>
      </w:r>
      <w:r w:rsidRPr="00812AF8">
        <w:rPr>
          <w:color w:val="000000" w:themeColor="text1"/>
        </w:rPr>
        <w:t xml:space="preserve">. Se toimii </w:t>
      </w:r>
      <w:r w:rsidRPr="00D61A05">
        <w:rPr>
          <w:color w:val="000000" w:themeColor="text1"/>
        </w:rPr>
        <w:t>hallinnollisesti Venezuelan sisä-, oikeus</w:t>
      </w:r>
      <w:r w:rsidRPr="00D61A05">
        <w:t xml:space="preserve">- ja </w:t>
      </w:r>
      <w:r w:rsidRPr="00D61A05">
        <w:lastRenderedPageBreak/>
        <w:t>rauhanministeriön</w:t>
      </w:r>
      <w:r w:rsidR="00D61A05">
        <w:rPr>
          <w:rStyle w:val="Alaviitteenviite"/>
        </w:rPr>
        <w:footnoteReference w:id="4"/>
      </w:r>
      <w:r w:rsidRPr="00D61A05">
        <w:t xml:space="preserve"> alaisuudessa</w:t>
      </w:r>
      <w:r w:rsidRPr="00B71E6B">
        <w:t>, m</w:t>
      </w:r>
      <w:r>
        <w:t>utta toiminnallisesti se on riippuvainen syyttäjänvirastosta.</w:t>
      </w:r>
      <w:r>
        <w:rPr>
          <w:rStyle w:val="Alaviitteenviite"/>
        </w:rPr>
        <w:footnoteReference w:id="5"/>
      </w:r>
      <w:r w:rsidR="00670190">
        <w:t xml:space="preserve"> </w:t>
      </w:r>
      <w:r w:rsidR="0010706E">
        <w:t xml:space="preserve">Em. ministeriöllä on oikeus </w:t>
      </w:r>
      <w:r w:rsidR="00B50441">
        <w:t xml:space="preserve">esim. </w:t>
      </w:r>
      <w:r w:rsidR="0010706E" w:rsidRPr="005863D3">
        <w:rPr>
          <w:color w:val="000000" w:themeColor="text1"/>
        </w:rPr>
        <w:t xml:space="preserve">nimittää ja erottaa </w:t>
      </w:r>
      <w:proofErr w:type="spellStart"/>
      <w:r w:rsidR="0010706E" w:rsidRPr="005863D3">
        <w:rPr>
          <w:color w:val="000000" w:themeColor="text1"/>
        </w:rPr>
        <w:t>CICPC:n</w:t>
      </w:r>
      <w:proofErr w:type="spellEnd"/>
      <w:r w:rsidR="0010706E" w:rsidRPr="005863D3">
        <w:rPr>
          <w:color w:val="000000" w:themeColor="text1"/>
        </w:rPr>
        <w:t xml:space="preserve"> henkilöstöä.</w:t>
      </w:r>
      <w:r w:rsidR="0010706E" w:rsidRPr="005863D3">
        <w:rPr>
          <w:rStyle w:val="Alaviitteenviite"/>
          <w:color w:val="000000" w:themeColor="text1"/>
        </w:rPr>
        <w:footnoteReference w:id="6"/>
      </w:r>
      <w:r w:rsidR="0010706E" w:rsidRPr="005863D3">
        <w:rPr>
          <w:color w:val="000000" w:themeColor="text1"/>
        </w:rPr>
        <w:t xml:space="preserve"> </w:t>
      </w:r>
      <w:r w:rsidR="00CE42DB">
        <w:t xml:space="preserve">BBC:n vuonna 2017 julkaiseman artikkelin mukaan </w:t>
      </w:r>
      <w:r w:rsidR="00143043">
        <w:t>sen joukkoihin kuuluu</w:t>
      </w:r>
      <w:r w:rsidR="006F1F82">
        <w:t xml:space="preserve"> kaksi erikoisjoukkoryhmää</w:t>
      </w:r>
      <w:r w:rsidR="00FE27E7">
        <w:t>:</w:t>
      </w:r>
      <w:r w:rsidR="00CE42DB">
        <w:t xml:space="preserve"> erikois</w:t>
      </w:r>
      <w:r w:rsidR="00F71CF5">
        <w:t>toimint</w:t>
      </w:r>
      <w:r w:rsidR="009566A8">
        <w:t>a</w:t>
      </w:r>
      <w:r w:rsidR="00F71CF5">
        <w:t>prikaati ja välittömän toiminnan prikaati.</w:t>
      </w:r>
      <w:r w:rsidR="00F71CF5">
        <w:rPr>
          <w:rStyle w:val="Alaviitteenviite"/>
        </w:rPr>
        <w:footnoteReference w:id="7"/>
      </w:r>
      <w:r w:rsidR="00F71CF5">
        <w:t xml:space="preserve"> </w:t>
      </w:r>
      <w:r w:rsidR="00501BA0">
        <w:t xml:space="preserve">YK:n </w:t>
      </w:r>
      <w:r w:rsidR="004536FD">
        <w:t>ihmisoikeusneuvoston (</w:t>
      </w:r>
      <w:r w:rsidR="003726B0">
        <w:t>UN HRC</w:t>
      </w:r>
      <w:r w:rsidR="004536FD">
        <w:t xml:space="preserve"> / </w:t>
      </w:r>
      <w:r w:rsidR="004536FD" w:rsidRPr="004536FD">
        <w:rPr>
          <w:i/>
        </w:rPr>
        <w:t xml:space="preserve">United </w:t>
      </w:r>
      <w:proofErr w:type="spellStart"/>
      <w:r w:rsidR="004536FD" w:rsidRPr="004536FD">
        <w:rPr>
          <w:i/>
        </w:rPr>
        <w:t>Nations</w:t>
      </w:r>
      <w:proofErr w:type="spellEnd"/>
      <w:r w:rsidR="004536FD" w:rsidRPr="004536FD">
        <w:rPr>
          <w:i/>
        </w:rPr>
        <w:t xml:space="preserve"> Human Rights </w:t>
      </w:r>
      <w:proofErr w:type="spellStart"/>
      <w:r w:rsidR="004536FD" w:rsidRPr="004536FD">
        <w:rPr>
          <w:i/>
        </w:rPr>
        <w:t>Co</w:t>
      </w:r>
      <w:r w:rsidR="00CE0672">
        <w:rPr>
          <w:i/>
        </w:rPr>
        <w:t>uncil</w:t>
      </w:r>
      <w:proofErr w:type="spellEnd"/>
      <w:r w:rsidR="004536FD">
        <w:t xml:space="preserve">) </w:t>
      </w:r>
      <w:r w:rsidR="00501BA0">
        <w:t>vuoden 2020 tiedonhankintaraportin</w:t>
      </w:r>
      <w:r w:rsidR="00B0395D">
        <w:rPr>
          <w:rStyle w:val="Alaviitteenviite"/>
        </w:rPr>
        <w:footnoteReference w:id="8"/>
      </w:r>
      <w:r w:rsidR="00501BA0">
        <w:t xml:space="preserve"> mukaan valtion viranomaiset, sekä presidentin että ministeriöiden tasolla, valvovat ja kontrolloivat valtion turvallisuusviranomaisten (ml. </w:t>
      </w:r>
      <w:proofErr w:type="spellStart"/>
      <w:r w:rsidR="00501BA0">
        <w:t>CICPC:n</w:t>
      </w:r>
      <w:proofErr w:type="spellEnd"/>
      <w:r w:rsidR="00501BA0">
        <w:t>) toimintaa.</w:t>
      </w:r>
      <w:r w:rsidR="00501BA0">
        <w:rPr>
          <w:rStyle w:val="Alaviitteenviite"/>
        </w:rPr>
        <w:footnoteReference w:id="9"/>
      </w:r>
      <w:r w:rsidR="00501BA0">
        <w:t xml:space="preserve"> </w:t>
      </w:r>
      <w:r w:rsidR="002D2E93">
        <w:t>Venezuelan turvallisuus</w:t>
      </w:r>
      <w:r w:rsidR="000230CD">
        <w:t xml:space="preserve">viranomaiset </w:t>
      </w:r>
      <w:r w:rsidR="00143043">
        <w:t>tekevät lisäksi</w:t>
      </w:r>
      <w:r w:rsidR="002D2E93">
        <w:t xml:space="preserve"> yhteistyöt</w:t>
      </w:r>
      <w:r w:rsidR="000230CD">
        <w:t xml:space="preserve">ä siviileistä muodostettujen, hallintoa tukevien </w:t>
      </w:r>
      <w:proofErr w:type="spellStart"/>
      <w:r w:rsidR="00FA3D45">
        <w:rPr>
          <w:i/>
        </w:rPr>
        <w:t>c</w:t>
      </w:r>
      <w:r w:rsidR="000230CD" w:rsidRPr="000230CD">
        <w:rPr>
          <w:i/>
        </w:rPr>
        <w:t>olectivos</w:t>
      </w:r>
      <w:proofErr w:type="spellEnd"/>
      <w:r w:rsidR="000230CD" w:rsidRPr="000230CD">
        <w:rPr>
          <w:i/>
        </w:rPr>
        <w:t xml:space="preserve"> </w:t>
      </w:r>
      <w:r w:rsidR="000230CD">
        <w:t>-</w:t>
      </w:r>
      <w:r w:rsidR="006C6CA3">
        <w:t>ryhmien</w:t>
      </w:r>
      <w:r w:rsidR="003E75CC">
        <w:rPr>
          <w:rStyle w:val="Alaviitteenviite"/>
        </w:rPr>
        <w:footnoteReference w:id="10"/>
      </w:r>
      <w:r w:rsidR="000230CD">
        <w:t xml:space="preserve"> kanssa, jotka</w:t>
      </w:r>
      <w:r w:rsidR="002D2E93" w:rsidRPr="002D2E93">
        <w:t xml:space="preserve"> </w:t>
      </w:r>
      <w:r w:rsidR="002D2E93">
        <w:t>ovat</w:t>
      </w:r>
      <w:r w:rsidR="000230CD">
        <w:t xml:space="preserve"> </w:t>
      </w:r>
      <w:r w:rsidR="003726B0">
        <w:t xml:space="preserve">UN </w:t>
      </w:r>
      <w:proofErr w:type="spellStart"/>
      <w:r w:rsidR="003726B0">
        <w:t>HRC</w:t>
      </w:r>
      <w:r w:rsidR="000D7188">
        <w:t>:n</w:t>
      </w:r>
      <w:proofErr w:type="spellEnd"/>
      <w:r w:rsidR="00681B11">
        <w:t xml:space="preserve"> mukaan </w:t>
      </w:r>
      <w:r w:rsidR="002D2E93">
        <w:t xml:space="preserve">mm. osallistuneet hyökkäyksiin </w:t>
      </w:r>
      <w:r w:rsidR="000230CD">
        <w:t>mielenosoittajia vastaan.</w:t>
      </w:r>
      <w:r w:rsidR="000230CD">
        <w:rPr>
          <w:rStyle w:val="Alaviitteenviite"/>
        </w:rPr>
        <w:footnoteReference w:id="11"/>
      </w:r>
      <w:r w:rsidR="00D81CCA">
        <w:t xml:space="preserve"> </w:t>
      </w:r>
      <w:proofErr w:type="spellStart"/>
      <w:r w:rsidR="00BE2BE4">
        <w:t>CICPC:tä</w:t>
      </w:r>
      <w:proofErr w:type="spellEnd"/>
      <w:r w:rsidR="00BE2BE4">
        <w:t xml:space="preserve"> on kuvailtu Venezuelan kuolettavimmaksi turvallisuusjoukoksi.</w:t>
      </w:r>
      <w:r w:rsidR="00BE2BE4">
        <w:rPr>
          <w:rStyle w:val="Alaviitteenviite"/>
        </w:rPr>
        <w:footnoteReference w:id="12"/>
      </w:r>
      <w:r w:rsidR="00F97726">
        <w:t xml:space="preserve"> Maan syyttäjänvirastossa työskennellyt rikoslakimies </w:t>
      </w:r>
      <w:proofErr w:type="spellStart"/>
      <w:r w:rsidR="00F97726">
        <w:t>Zair</w:t>
      </w:r>
      <w:proofErr w:type="spellEnd"/>
      <w:r w:rsidR="00F97726">
        <w:t xml:space="preserve"> </w:t>
      </w:r>
      <w:proofErr w:type="spellStart"/>
      <w:r w:rsidR="00F97726">
        <w:t>Mundaray</w:t>
      </w:r>
      <w:proofErr w:type="spellEnd"/>
      <w:r w:rsidR="00F97726">
        <w:t xml:space="preserve"> on kertonut sosiaalisen median X -palvelussa (ent. Twitter), että </w:t>
      </w:r>
      <w:proofErr w:type="spellStart"/>
      <w:r w:rsidR="00F97726">
        <w:t>CICPC</w:t>
      </w:r>
      <w:r w:rsidR="00465A21">
        <w:t>:n</w:t>
      </w:r>
      <w:proofErr w:type="spellEnd"/>
      <w:r w:rsidR="00465A21">
        <w:t xml:space="preserve"> joukot ovat käyttäneet säännönmukaisesti </w:t>
      </w:r>
      <w:r w:rsidR="00F97726">
        <w:t>ase</w:t>
      </w:r>
      <w:r w:rsidR="00465A21">
        <w:t>i</w:t>
      </w:r>
      <w:r w:rsidR="00F97726">
        <w:t>naan 9 mm:n Glock-pistool</w:t>
      </w:r>
      <w:r w:rsidR="00FC216F">
        <w:t>eja</w:t>
      </w:r>
      <w:r w:rsidR="00F97726">
        <w:t xml:space="preserve"> sekä 5,56 kaliiperin </w:t>
      </w:r>
      <w:proofErr w:type="spellStart"/>
      <w:r w:rsidR="00F97726">
        <w:t>Steyr</w:t>
      </w:r>
      <w:proofErr w:type="spellEnd"/>
      <w:r w:rsidR="00F97726">
        <w:t xml:space="preserve"> AUG -kiväär</w:t>
      </w:r>
      <w:r w:rsidR="00FC216F">
        <w:t>ejä</w:t>
      </w:r>
      <w:r w:rsidR="00F97726">
        <w:t>.</w:t>
      </w:r>
      <w:r w:rsidR="00465A21">
        <w:rPr>
          <w:rStyle w:val="Alaviitteenviite"/>
        </w:rPr>
        <w:footnoteReference w:id="13"/>
      </w:r>
      <w:r w:rsidR="00F97726">
        <w:t xml:space="preserve"> </w:t>
      </w:r>
    </w:p>
    <w:p w14:paraId="2491F37C" w14:textId="333F6EB3" w:rsidR="00972206" w:rsidRDefault="000230CD" w:rsidP="00064FD5">
      <w:pPr>
        <w:rPr>
          <w:color w:val="000000" w:themeColor="text1"/>
        </w:rPr>
      </w:pPr>
      <w:proofErr w:type="spellStart"/>
      <w:r>
        <w:t>CICPC:n</w:t>
      </w:r>
      <w:proofErr w:type="spellEnd"/>
      <w:r>
        <w:t xml:space="preserve"> tehtävät määritellään </w:t>
      </w:r>
      <w:r w:rsidR="00812AF8" w:rsidRPr="00812AF8">
        <w:rPr>
          <w:color w:val="000000" w:themeColor="text1"/>
        </w:rPr>
        <w:t>tutkintapoliisi</w:t>
      </w:r>
      <w:r w:rsidR="006C6CA3">
        <w:rPr>
          <w:color w:val="000000" w:themeColor="text1"/>
        </w:rPr>
        <w:t>a</w:t>
      </w:r>
      <w:r w:rsidR="00812AF8" w:rsidRPr="00812AF8">
        <w:rPr>
          <w:color w:val="000000" w:themeColor="text1"/>
        </w:rPr>
        <w:t>, tieteellisen, rikosoikeudellisen ja rikosteknisen tutkinnan yksikköä</w:t>
      </w:r>
      <w:r w:rsidR="006C6CA3">
        <w:rPr>
          <w:color w:val="000000" w:themeColor="text1"/>
        </w:rPr>
        <w:t xml:space="preserve"> (ts. CICPC)</w:t>
      </w:r>
      <w:r w:rsidR="00812AF8" w:rsidRPr="00812AF8">
        <w:rPr>
          <w:color w:val="000000" w:themeColor="text1"/>
        </w:rPr>
        <w:t xml:space="preserve"> sekä kansallisen lääketieteen ja </w:t>
      </w:r>
      <w:r w:rsidR="006C6CA3">
        <w:rPr>
          <w:color w:val="000000" w:themeColor="text1"/>
        </w:rPr>
        <w:t>oikeuslääketieteen</w:t>
      </w:r>
      <w:r w:rsidR="00812AF8" w:rsidRPr="00812AF8">
        <w:rPr>
          <w:color w:val="000000" w:themeColor="text1"/>
        </w:rPr>
        <w:t xml:space="preserve"> </w:t>
      </w:r>
      <w:r w:rsidR="006C6CA3">
        <w:rPr>
          <w:color w:val="000000" w:themeColor="text1"/>
        </w:rPr>
        <w:t xml:space="preserve">tutkimuslaitosta </w:t>
      </w:r>
      <w:r w:rsidR="00812AF8" w:rsidRPr="00812AF8">
        <w:rPr>
          <w:color w:val="000000" w:themeColor="text1"/>
        </w:rPr>
        <w:t>koskevassa laissa (</w:t>
      </w:r>
      <w:proofErr w:type="spellStart"/>
      <w:r w:rsidR="00812AF8" w:rsidRPr="00812AF8">
        <w:rPr>
          <w:i/>
          <w:color w:val="000000" w:themeColor="text1"/>
        </w:rPr>
        <w:t>Ley</w:t>
      </w:r>
      <w:proofErr w:type="spellEnd"/>
      <w:r w:rsidR="00812AF8" w:rsidRPr="00812AF8">
        <w:rPr>
          <w:i/>
          <w:color w:val="000000" w:themeColor="text1"/>
        </w:rPr>
        <w:t xml:space="preserve"> </w:t>
      </w:r>
      <w:proofErr w:type="spellStart"/>
      <w:r w:rsidR="00812AF8" w:rsidRPr="00812AF8">
        <w:rPr>
          <w:i/>
          <w:color w:val="000000" w:themeColor="text1"/>
        </w:rPr>
        <w:t>Orgánica</w:t>
      </w:r>
      <w:proofErr w:type="spellEnd"/>
      <w:r w:rsidR="00812AF8" w:rsidRPr="00812AF8">
        <w:rPr>
          <w:i/>
          <w:color w:val="000000" w:themeColor="text1"/>
        </w:rPr>
        <w:t xml:space="preserve"> del </w:t>
      </w:r>
      <w:proofErr w:type="spellStart"/>
      <w:r w:rsidR="00812AF8" w:rsidRPr="00812AF8">
        <w:rPr>
          <w:i/>
          <w:color w:val="000000" w:themeColor="text1"/>
        </w:rPr>
        <w:t>Servicio</w:t>
      </w:r>
      <w:proofErr w:type="spellEnd"/>
      <w:r w:rsidR="00812AF8" w:rsidRPr="00812AF8">
        <w:rPr>
          <w:i/>
          <w:color w:val="000000" w:themeColor="text1"/>
        </w:rPr>
        <w:t xml:space="preserve"> de la </w:t>
      </w:r>
      <w:proofErr w:type="spellStart"/>
      <w:r w:rsidR="00812AF8" w:rsidRPr="00812AF8">
        <w:rPr>
          <w:i/>
          <w:color w:val="000000" w:themeColor="text1"/>
        </w:rPr>
        <w:t>Policía</w:t>
      </w:r>
      <w:proofErr w:type="spellEnd"/>
      <w:r w:rsidR="00812AF8" w:rsidRPr="00812AF8">
        <w:rPr>
          <w:i/>
          <w:color w:val="000000" w:themeColor="text1"/>
        </w:rPr>
        <w:t xml:space="preserve"> de </w:t>
      </w:r>
      <w:proofErr w:type="spellStart"/>
      <w:r w:rsidR="00812AF8" w:rsidRPr="00812AF8">
        <w:rPr>
          <w:i/>
          <w:color w:val="000000" w:themeColor="text1"/>
        </w:rPr>
        <w:t>Investigación</w:t>
      </w:r>
      <w:proofErr w:type="spellEnd"/>
      <w:r w:rsidR="00812AF8" w:rsidRPr="00812AF8">
        <w:rPr>
          <w:i/>
          <w:color w:val="000000" w:themeColor="text1"/>
        </w:rPr>
        <w:t xml:space="preserve">, </w:t>
      </w:r>
      <w:proofErr w:type="spellStart"/>
      <w:r w:rsidR="00812AF8" w:rsidRPr="00812AF8">
        <w:rPr>
          <w:i/>
          <w:color w:val="000000" w:themeColor="text1"/>
        </w:rPr>
        <w:t>el</w:t>
      </w:r>
      <w:proofErr w:type="spellEnd"/>
      <w:r w:rsidR="00812AF8" w:rsidRPr="00812AF8">
        <w:rPr>
          <w:i/>
          <w:color w:val="000000" w:themeColor="text1"/>
        </w:rPr>
        <w:t xml:space="preserve"> </w:t>
      </w:r>
      <w:proofErr w:type="spellStart"/>
      <w:r w:rsidR="00812AF8" w:rsidRPr="00812AF8">
        <w:rPr>
          <w:i/>
          <w:color w:val="000000" w:themeColor="text1"/>
        </w:rPr>
        <w:t>Cuerpo</w:t>
      </w:r>
      <w:proofErr w:type="spellEnd"/>
      <w:r w:rsidR="00812AF8" w:rsidRPr="00812AF8">
        <w:rPr>
          <w:i/>
          <w:color w:val="000000" w:themeColor="text1"/>
        </w:rPr>
        <w:t xml:space="preserve"> de </w:t>
      </w:r>
      <w:proofErr w:type="spellStart"/>
      <w:r w:rsidR="00812AF8" w:rsidRPr="00812AF8">
        <w:rPr>
          <w:i/>
          <w:color w:val="000000" w:themeColor="text1"/>
        </w:rPr>
        <w:t>Investigaciones</w:t>
      </w:r>
      <w:proofErr w:type="spellEnd"/>
      <w:r w:rsidR="00812AF8" w:rsidRPr="00812AF8">
        <w:rPr>
          <w:i/>
          <w:color w:val="000000" w:themeColor="text1"/>
        </w:rPr>
        <w:t xml:space="preserve"> </w:t>
      </w:r>
      <w:proofErr w:type="spellStart"/>
      <w:r w:rsidR="00812AF8" w:rsidRPr="00812AF8">
        <w:rPr>
          <w:i/>
          <w:color w:val="000000" w:themeColor="text1"/>
        </w:rPr>
        <w:t>Científicas</w:t>
      </w:r>
      <w:proofErr w:type="spellEnd"/>
      <w:r w:rsidR="00812AF8" w:rsidRPr="00812AF8">
        <w:rPr>
          <w:i/>
          <w:color w:val="000000" w:themeColor="text1"/>
        </w:rPr>
        <w:t xml:space="preserve">, </w:t>
      </w:r>
      <w:proofErr w:type="spellStart"/>
      <w:r w:rsidR="00812AF8" w:rsidRPr="00812AF8">
        <w:rPr>
          <w:i/>
          <w:color w:val="000000" w:themeColor="text1"/>
        </w:rPr>
        <w:t>Penales</w:t>
      </w:r>
      <w:proofErr w:type="spellEnd"/>
      <w:r w:rsidR="00812AF8" w:rsidRPr="00812AF8">
        <w:rPr>
          <w:i/>
          <w:color w:val="000000" w:themeColor="text1"/>
        </w:rPr>
        <w:t xml:space="preserve"> y </w:t>
      </w:r>
      <w:proofErr w:type="spellStart"/>
      <w:r w:rsidR="00812AF8" w:rsidRPr="00812AF8">
        <w:rPr>
          <w:i/>
          <w:color w:val="000000" w:themeColor="text1"/>
        </w:rPr>
        <w:t>Criminalísticas</w:t>
      </w:r>
      <w:proofErr w:type="spellEnd"/>
      <w:r w:rsidR="00812AF8" w:rsidRPr="00812AF8">
        <w:rPr>
          <w:i/>
          <w:color w:val="000000" w:themeColor="text1"/>
        </w:rPr>
        <w:t xml:space="preserve"> y </w:t>
      </w:r>
      <w:proofErr w:type="spellStart"/>
      <w:r w:rsidR="00812AF8" w:rsidRPr="00812AF8">
        <w:rPr>
          <w:i/>
          <w:color w:val="000000" w:themeColor="text1"/>
        </w:rPr>
        <w:t>el</w:t>
      </w:r>
      <w:proofErr w:type="spellEnd"/>
      <w:r w:rsidR="00812AF8" w:rsidRPr="00812AF8">
        <w:rPr>
          <w:i/>
          <w:color w:val="000000" w:themeColor="text1"/>
        </w:rPr>
        <w:t xml:space="preserve"> </w:t>
      </w:r>
      <w:proofErr w:type="spellStart"/>
      <w:r w:rsidR="00812AF8" w:rsidRPr="00812AF8">
        <w:rPr>
          <w:i/>
          <w:color w:val="000000" w:themeColor="text1"/>
        </w:rPr>
        <w:t>Instituto</w:t>
      </w:r>
      <w:proofErr w:type="spellEnd"/>
      <w:r w:rsidR="00812AF8" w:rsidRPr="00812AF8">
        <w:rPr>
          <w:i/>
          <w:color w:val="000000" w:themeColor="text1"/>
        </w:rPr>
        <w:t xml:space="preserve"> </w:t>
      </w:r>
      <w:proofErr w:type="spellStart"/>
      <w:r w:rsidR="00812AF8" w:rsidRPr="00812AF8">
        <w:rPr>
          <w:i/>
          <w:color w:val="000000" w:themeColor="text1"/>
        </w:rPr>
        <w:t>Nacional</w:t>
      </w:r>
      <w:proofErr w:type="spellEnd"/>
      <w:r w:rsidR="00812AF8" w:rsidRPr="00812AF8">
        <w:rPr>
          <w:i/>
          <w:color w:val="000000" w:themeColor="text1"/>
        </w:rPr>
        <w:t xml:space="preserve"> de </w:t>
      </w:r>
      <w:proofErr w:type="spellStart"/>
      <w:r w:rsidR="00812AF8" w:rsidRPr="00812AF8">
        <w:rPr>
          <w:i/>
          <w:color w:val="000000" w:themeColor="text1"/>
        </w:rPr>
        <w:t>Medicina</w:t>
      </w:r>
      <w:proofErr w:type="spellEnd"/>
      <w:r w:rsidR="00812AF8" w:rsidRPr="00812AF8">
        <w:rPr>
          <w:i/>
          <w:color w:val="000000" w:themeColor="text1"/>
        </w:rPr>
        <w:t xml:space="preserve"> y </w:t>
      </w:r>
      <w:proofErr w:type="spellStart"/>
      <w:r w:rsidR="00812AF8" w:rsidRPr="00812AF8">
        <w:rPr>
          <w:i/>
          <w:color w:val="000000" w:themeColor="text1"/>
        </w:rPr>
        <w:t>Ciencias</w:t>
      </w:r>
      <w:proofErr w:type="spellEnd"/>
      <w:r w:rsidR="00812AF8" w:rsidRPr="00812AF8">
        <w:rPr>
          <w:i/>
          <w:color w:val="000000" w:themeColor="text1"/>
        </w:rPr>
        <w:t xml:space="preserve"> </w:t>
      </w:r>
      <w:proofErr w:type="spellStart"/>
      <w:r w:rsidR="00812AF8" w:rsidRPr="00812AF8">
        <w:rPr>
          <w:i/>
          <w:color w:val="000000" w:themeColor="text1"/>
        </w:rPr>
        <w:t>Forenses</w:t>
      </w:r>
      <w:proofErr w:type="spellEnd"/>
      <w:r w:rsidR="00812AF8" w:rsidRPr="00812AF8">
        <w:rPr>
          <w:color w:val="000000" w:themeColor="text1"/>
        </w:rPr>
        <w:t>)</w:t>
      </w:r>
      <w:r w:rsidRPr="00812AF8">
        <w:rPr>
          <w:color w:val="000000" w:themeColor="text1"/>
        </w:rPr>
        <w:t>.</w:t>
      </w:r>
      <w:r w:rsidR="000112CA">
        <w:rPr>
          <w:color w:val="000000" w:themeColor="text1"/>
        </w:rPr>
        <w:t xml:space="preserve"> </w:t>
      </w:r>
      <w:r w:rsidR="000D7188">
        <w:rPr>
          <w:color w:val="000000" w:themeColor="text1"/>
        </w:rPr>
        <w:t>Kyseessä oleva lakiuudistus</w:t>
      </w:r>
      <w:r w:rsidR="0018118D" w:rsidRPr="000112CA">
        <w:rPr>
          <w:color w:val="000000" w:themeColor="text1"/>
        </w:rPr>
        <w:t xml:space="preserve"> tuli voimaan vuonna 2012.</w:t>
      </w:r>
      <w:r w:rsidRPr="000112CA">
        <w:rPr>
          <w:color w:val="000000" w:themeColor="text1"/>
        </w:rPr>
        <w:t xml:space="preserve"> </w:t>
      </w:r>
      <w:r w:rsidRPr="00812AF8">
        <w:rPr>
          <w:color w:val="000000" w:themeColor="text1"/>
        </w:rPr>
        <w:t xml:space="preserve">Artikla 35 toteaa </w:t>
      </w:r>
      <w:proofErr w:type="spellStart"/>
      <w:r w:rsidR="00812AF8">
        <w:rPr>
          <w:color w:val="000000" w:themeColor="text1"/>
        </w:rPr>
        <w:t>CICPC:llä</w:t>
      </w:r>
      <w:proofErr w:type="spellEnd"/>
      <w:r w:rsidR="00812AF8">
        <w:rPr>
          <w:color w:val="000000" w:themeColor="text1"/>
        </w:rPr>
        <w:t xml:space="preserve"> </w:t>
      </w:r>
      <w:r w:rsidRPr="00812AF8">
        <w:rPr>
          <w:color w:val="000000" w:themeColor="text1"/>
        </w:rPr>
        <w:t xml:space="preserve">olevan mm. seuraavat tehtävät: </w:t>
      </w:r>
    </w:p>
    <w:p w14:paraId="1322BA1F" w14:textId="27A94A3E" w:rsidR="000230CD" w:rsidRPr="00972206" w:rsidRDefault="00972206" w:rsidP="00972206">
      <w:pPr>
        <w:pStyle w:val="Luettelokappale"/>
        <w:numPr>
          <w:ilvl w:val="0"/>
          <w:numId w:val="34"/>
        </w:numPr>
        <w:rPr>
          <w:color w:val="000000" w:themeColor="text1"/>
        </w:rPr>
      </w:pPr>
      <w:r w:rsidRPr="00972206">
        <w:rPr>
          <w:color w:val="000000" w:themeColor="text1"/>
        </w:rPr>
        <w:t>Laatia</w:t>
      </w:r>
      <w:r w:rsidR="000230CD" w:rsidRPr="00972206">
        <w:rPr>
          <w:color w:val="000000" w:themeColor="text1"/>
        </w:rPr>
        <w:t xml:space="preserve"> ja toteu</w:t>
      </w:r>
      <w:r w:rsidR="00D81CCA" w:rsidRPr="00972206">
        <w:rPr>
          <w:color w:val="000000" w:themeColor="text1"/>
        </w:rPr>
        <w:t>ttaa</w:t>
      </w:r>
      <w:r w:rsidR="000230CD" w:rsidRPr="00972206">
        <w:rPr>
          <w:color w:val="000000" w:themeColor="text1"/>
        </w:rPr>
        <w:t xml:space="preserve"> </w:t>
      </w:r>
      <w:r w:rsidR="00BE3254" w:rsidRPr="00972206">
        <w:rPr>
          <w:color w:val="000000" w:themeColor="text1"/>
        </w:rPr>
        <w:t>”</w:t>
      </w:r>
      <w:r w:rsidR="00812AF8" w:rsidRPr="00972206">
        <w:rPr>
          <w:color w:val="000000" w:themeColor="text1"/>
        </w:rPr>
        <w:t>tieteellinen tutkimussuunnitelma</w:t>
      </w:r>
      <w:r w:rsidR="00BE3254" w:rsidRPr="00972206">
        <w:rPr>
          <w:color w:val="000000" w:themeColor="text1"/>
        </w:rPr>
        <w:t>”</w:t>
      </w:r>
      <w:r w:rsidR="00812AF8" w:rsidRPr="00972206">
        <w:rPr>
          <w:color w:val="000000" w:themeColor="text1"/>
        </w:rPr>
        <w:t xml:space="preserve"> rangaistavan teon</w:t>
      </w:r>
      <w:r w:rsidRPr="00972206">
        <w:rPr>
          <w:color w:val="000000" w:themeColor="text1"/>
        </w:rPr>
        <w:t xml:space="preserve"> sekä</w:t>
      </w:r>
      <w:r w:rsidR="00812AF8" w:rsidRPr="00972206">
        <w:rPr>
          <w:color w:val="000000" w:themeColor="text1"/>
        </w:rPr>
        <w:t xml:space="preserve"> sen ominaispiirteiden, tekijöiden, osallistujien ja uhrien </w:t>
      </w:r>
      <w:r w:rsidRPr="00972206">
        <w:rPr>
          <w:color w:val="000000" w:themeColor="text1"/>
        </w:rPr>
        <w:t xml:space="preserve">selvittämiseksi ja todentamiseksi, </w:t>
      </w:r>
      <w:r w:rsidR="00812AF8" w:rsidRPr="00972206">
        <w:rPr>
          <w:color w:val="000000" w:themeColor="text1"/>
        </w:rPr>
        <w:t xml:space="preserve">sekä </w:t>
      </w:r>
      <w:r w:rsidRPr="00972206">
        <w:rPr>
          <w:color w:val="000000" w:themeColor="text1"/>
        </w:rPr>
        <w:t>kerättävä ja varmistettava kaikki todisteet</w:t>
      </w:r>
      <w:r w:rsidR="00D81CCA" w:rsidRPr="00972206">
        <w:rPr>
          <w:color w:val="000000" w:themeColor="text1"/>
        </w:rPr>
        <w:t>;</w:t>
      </w:r>
    </w:p>
    <w:p w14:paraId="6A981289" w14:textId="40269478" w:rsidR="00F359B9" w:rsidRDefault="000230CD" w:rsidP="0092412E">
      <w:pPr>
        <w:pStyle w:val="Luettelokappale"/>
        <w:numPr>
          <w:ilvl w:val="0"/>
          <w:numId w:val="34"/>
        </w:numPr>
      </w:pPr>
      <w:r w:rsidRPr="00972206">
        <w:rPr>
          <w:color w:val="000000" w:themeColor="text1"/>
        </w:rPr>
        <w:t xml:space="preserve">Ilmoittaa </w:t>
      </w:r>
      <w:r w:rsidR="00D81CCA" w:rsidRPr="00972206">
        <w:rPr>
          <w:color w:val="000000" w:themeColor="text1"/>
        </w:rPr>
        <w:t xml:space="preserve">ja raportoida </w:t>
      </w:r>
      <w:r w:rsidRPr="00972206">
        <w:rPr>
          <w:color w:val="000000" w:themeColor="text1"/>
        </w:rPr>
        <w:t>syyttäjänvirastolle jatkuvasti ja aj</w:t>
      </w:r>
      <w:r w:rsidR="00DD0F85" w:rsidRPr="00972206">
        <w:rPr>
          <w:color w:val="000000" w:themeColor="text1"/>
        </w:rPr>
        <w:t>antasaisesti</w:t>
      </w:r>
      <w:r w:rsidRPr="00972206">
        <w:rPr>
          <w:color w:val="000000" w:themeColor="text1"/>
        </w:rPr>
        <w:t xml:space="preserve"> poliisin </w:t>
      </w:r>
      <w:r w:rsidR="00DD0F85" w:rsidRPr="00972206">
        <w:rPr>
          <w:color w:val="000000" w:themeColor="text1"/>
        </w:rPr>
        <w:t>”</w:t>
      </w:r>
      <w:r w:rsidRPr="00972206">
        <w:rPr>
          <w:color w:val="000000" w:themeColor="text1"/>
        </w:rPr>
        <w:t>tieteellisen tutkimussuunnitelman</w:t>
      </w:r>
      <w:r w:rsidR="00DD0F85" w:rsidRPr="00972206">
        <w:rPr>
          <w:color w:val="000000" w:themeColor="text1"/>
        </w:rPr>
        <w:t>”</w:t>
      </w:r>
      <w:r w:rsidRPr="00972206">
        <w:rPr>
          <w:color w:val="000000" w:themeColor="text1"/>
        </w:rPr>
        <w:t xml:space="preserve"> </w:t>
      </w:r>
      <w:r w:rsidR="00972206">
        <w:rPr>
          <w:color w:val="000000" w:themeColor="text1"/>
        </w:rPr>
        <w:t>edistymisestä</w:t>
      </w:r>
      <w:r w:rsidRPr="00972206">
        <w:rPr>
          <w:color w:val="000000" w:themeColor="text1"/>
        </w:rPr>
        <w:t xml:space="preserve"> ja toteuttamisesta kunkin rangaistavan teon osalta</w:t>
      </w:r>
      <w:r w:rsidR="0092412E">
        <w:t>.</w:t>
      </w:r>
      <w:r w:rsidR="00D81CCA">
        <w:rPr>
          <w:rStyle w:val="Alaviitteenviite"/>
        </w:rPr>
        <w:footnoteReference w:id="14"/>
      </w:r>
    </w:p>
    <w:p w14:paraId="3AA5BF04" w14:textId="6CAFD98B" w:rsidR="00BE3254" w:rsidRDefault="00BE3254" w:rsidP="00BB05F1">
      <w:r w:rsidRPr="000F5E0F">
        <w:rPr>
          <w:color w:val="000000" w:themeColor="text1"/>
        </w:rPr>
        <w:t>Kansainvälisen juristi</w:t>
      </w:r>
      <w:r w:rsidR="000F5E0F" w:rsidRPr="000F5E0F">
        <w:rPr>
          <w:color w:val="000000" w:themeColor="text1"/>
        </w:rPr>
        <w:t xml:space="preserve">toimikunnan (ICJ / </w:t>
      </w:r>
      <w:r w:rsidR="000F5E0F" w:rsidRPr="004536FD">
        <w:rPr>
          <w:i/>
          <w:color w:val="000000" w:themeColor="text1"/>
        </w:rPr>
        <w:t xml:space="preserve">International Commission of </w:t>
      </w:r>
      <w:proofErr w:type="spellStart"/>
      <w:r w:rsidR="000F5E0F" w:rsidRPr="004536FD">
        <w:rPr>
          <w:i/>
          <w:color w:val="000000" w:themeColor="text1"/>
        </w:rPr>
        <w:t>Jurists</w:t>
      </w:r>
      <w:proofErr w:type="spellEnd"/>
      <w:r w:rsidR="000F5E0F" w:rsidRPr="000F5E0F">
        <w:rPr>
          <w:color w:val="000000" w:themeColor="text1"/>
        </w:rPr>
        <w:t>)</w:t>
      </w:r>
      <w:r w:rsidRPr="000F5E0F">
        <w:rPr>
          <w:color w:val="000000" w:themeColor="text1"/>
        </w:rPr>
        <w:t xml:space="preserve"> </w:t>
      </w:r>
      <w:r w:rsidR="000F5E0F">
        <w:rPr>
          <w:color w:val="000000" w:themeColor="text1"/>
        </w:rPr>
        <w:t>julkaiseman raportin (4/2024) mukaan</w:t>
      </w:r>
      <w:r w:rsidRPr="000F5E0F">
        <w:t xml:space="preserve"> </w:t>
      </w:r>
      <w:r>
        <w:t>edellä kuvat</w:t>
      </w:r>
      <w:r w:rsidR="000112CA">
        <w:t>tu</w:t>
      </w:r>
      <w:r>
        <w:t xml:space="preserve"> prosessi</w:t>
      </w:r>
      <w:r w:rsidR="000112CA">
        <w:t xml:space="preserve"> on ns.</w:t>
      </w:r>
      <w:r w:rsidR="00681B11">
        <w:t xml:space="preserve"> </w:t>
      </w:r>
      <w:r>
        <w:t>rikosoikeudellisen menettelyn valmisteluvaihe</w:t>
      </w:r>
      <w:r w:rsidR="000112CA">
        <w:t xml:space="preserve">. Sen </w:t>
      </w:r>
      <w:r>
        <w:t>tulisi päättyä joko syytteeseen asettamiseen, syytteiden hylkäämiseen tai syytte</w:t>
      </w:r>
      <w:r w:rsidR="00681B11">
        <w:t>ide</w:t>
      </w:r>
      <w:r>
        <w:t xml:space="preserve">n </w:t>
      </w:r>
      <w:r>
        <w:lastRenderedPageBreak/>
        <w:t xml:space="preserve">päätymiseen syyttäjän </w:t>
      </w:r>
      <w:r w:rsidR="000112CA">
        <w:t>”arkistoon” odottamaan lisätodisteita</w:t>
      </w:r>
      <w:r>
        <w:t>.</w:t>
      </w:r>
      <w:r>
        <w:rPr>
          <w:rStyle w:val="Alaviitteenviite"/>
        </w:rPr>
        <w:footnoteReference w:id="15"/>
      </w:r>
      <w:r>
        <w:t xml:space="preserve"> </w:t>
      </w:r>
      <w:r w:rsidR="00B87BB2">
        <w:t>Tutkintapoliisin hierark</w:t>
      </w:r>
      <w:r w:rsidR="00783574">
        <w:t>k</w:t>
      </w:r>
      <w:r w:rsidR="00B87BB2">
        <w:t>inen rakenne on</w:t>
      </w:r>
      <w:r w:rsidR="00625570">
        <w:t xml:space="preserve"> puolestaan</w:t>
      </w:r>
      <w:r w:rsidR="00E259A8">
        <w:t xml:space="preserve"> määritelty </w:t>
      </w:r>
      <w:r w:rsidR="00E259A8" w:rsidRPr="00E259A8">
        <w:t>tutkintapoliisitoiminnan asemaa, arvoa ja voimaa koskevan asetuksen uudistamisesta</w:t>
      </w:r>
      <w:r w:rsidR="0006266A">
        <w:t xml:space="preserve"> säädetyssä laissa </w:t>
      </w:r>
      <w:r w:rsidR="0006266A" w:rsidRPr="0006266A">
        <w:rPr>
          <w:i/>
        </w:rPr>
        <w:t>(</w:t>
      </w:r>
      <w:proofErr w:type="spellStart"/>
      <w:r w:rsidR="0006266A" w:rsidRPr="0006266A">
        <w:rPr>
          <w:i/>
        </w:rPr>
        <w:t>Ley</w:t>
      </w:r>
      <w:proofErr w:type="spellEnd"/>
      <w:r w:rsidR="0006266A" w:rsidRPr="0006266A">
        <w:rPr>
          <w:i/>
        </w:rPr>
        <w:t xml:space="preserve"> de </w:t>
      </w:r>
      <w:proofErr w:type="spellStart"/>
      <w:r w:rsidR="0006266A" w:rsidRPr="0006266A">
        <w:rPr>
          <w:i/>
        </w:rPr>
        <w:t>Reforma</w:t>
      </w:r>
      <w:proofErr w:type="spellEnd"/>
      <w:r w:rsidR="0006266A" w:rsidRPr="0006266A">
        <w:rPr>
          <w:i/>
        </w:rPr>
        <w:t xml:space="preserve"> del </w:t>
      </w:r>
      <w:proofErr w:type="spellStart"/>
      <w:r w:rsidR="0006266A" w:rsidRPr="0006266A">
        <w:rPr>
          <w:i/>
        </w:rPr>
        <w:t>Decreto</w:t>
      </w:r>
      <w:proofErr w:type="spellEnd"/>
      <w:r w:rsidR="0006266A" w:rsidRPr="0006266A">
        <w:rPr>
          <w:i/>
        </w:rPr>
        <w:t xml:space="preserve"> </w:t>
      </w:r>
      <w:proofErr w:type="spellStart"/>
      <w:r w:rsidR="0006266A" w:rsidRPr="0006266A">
        <w:rPr>
          <w:i/>
        </w:rPr>
        <w:t>Con</w:t>
      </w:r>
      <w:proofErr w:type="spellEnd"/>
      <w:r w:rsidR="0006266A" w:rsidRPr="0006266A">
        <w:rPr>
          <w:i/>
        </w:rPr>
        <w:t xml:space="preserve"> </w:t>
      </w:r>
      <w:proofErr w:type="spellStart"/>
      <w:r w:rsidR="0006266A" w:rsidRPr="0006266A">
        <w:rPr>
          <w:i/>
        </w:rPr>
        <w:t>Rango</w:t>
      </w:r>
      <w:proofErr w:type="spellEnd"/>
      <w:r w:rsidR="0006266A" w:rsidRPr="0006266A">
        <w:rPr>
          <w:i/>
        </w:rPr>
        <w:t xml:space="preserve">, </w:t>
      </w:r>
      <w:proofErr w:type="spellStart"/>
      <w:r w:rsidR="0006266A" w:rsidRPr="0006266A">
        <w:rPr>
          <w:i/>
        </w:rPr>
        <w:t>Valor</w:t>
      </w:r>
      <w:proofErr w:type="spellEnd"/>
      <w:r w:rsidR="0006266A" w:rsidRPr="0006266A">
        <w:rPr>
          <w:i/>
        </w:rPr>
        <w:t xml:space="preserve"> y </w:t>
      </w:r>
      <w:proofErr w:type="spellStart"/>
      <w:r w:rsidR="0006266A" w:rsidRPr="0006266A">
        <w:rPr>
          <w:i/>
        </w:rPr>
        <w:t>Fuerza</w:t>
      </w:r>
      <w:proofErr w:type="spellEnd"/>
      <w:r w:rsidR="0006266A" w:rsidRPr="0006266A">
        <w:rPr>
          <w:i/>
        </w:rPr>
        <w:t xml:space="preserve"> de </w:t>
      </w:r>
      <w:proofErr w:type="spellStart"/>
      <w:r w:rsidR="0006266A" w:rsidRPr="0006266A">
        <w:rPr>
          <w:i/>
        </w:rPr>
        <w:t>Ley</w:t>
      </w:r>
      <w:proofErr w:type="spellEnd"/>
      <w:r w:rsidR="0006266A" w:rsidRPr="0006266A">
        <w:rPr>
          <w:i/>
        </w:rPr>
        <w:t xml:space="preserve"> del </w:t>
      </w:r>
      <w:proofErr w:type="spellStart"/>
      <w:r w:rsidR="0006266A" w:rsidRPr="0006266A">
        <w:rPr>
          <w:i/>
        </w:rPr>
        <w:t>Estatuto</w:t>
      </w:r>
      <w:proofErr w:type="spellEnd"/>
      <w:r w:rsidR="0006266A" w:rsidRPr="0006266A">
        <w:rPr>
          <w:i/>
        </w:rPr>
        <w:t xml:space="preserve"> de la </w:t>
      </w:r>
      <w:proofErr w:type="spellStart"/>
      <w:r w:rsidR="0006266A" w:rsidRPr="0006266A">
        <w:rPr>
          <w:i/>
        </w:rPr>
        <w:t>Función</w:t>
      </w:r>
      <w:proofErr w:type="spellEnd"/>
      <w:r w:rsidR="0006266A" w:rsidRPr="0006266A">
        <w:rPr>
          <w:i/>
        </w:rPr>
        <w:t xml:space="preserve"> de la </w:t>
      </w:r>
      <w:proofErr w:type="spellStart"/>
      <w:r w:rsidR="0006266A" w:rsidRPr="0006266A">
        <w:rPr>
          <w:i/>
        </w:rPr>
        <w:t>Policía</w:t>
      </w:r>
      <w:proofErr w:type="spellEnd"/>
      <w:r w:rsidR="0006266A" w:rsidRPr="0006266A">
        <w:rPr>
          <w:i/>
        </w:rPr>
        <w:t xml:space="preserve"> de </w:t>
      </w:r>
      <w:proofErr w:type="spellStart"/>
      <w:r w:rsidR="0006266A" w:rsidRPr="0006266A">
        <w:rPr>
          <w:i/>
        </w:rPr>
        <w:t>Investigación</w:t>
      </w:r>
      <w:proofErr w:type="spellEnd"/>
      <w:r w:rsidR="0006266A" w:rsidRPr="0006266A">
        <w:rPr>
          <w:i/>
        </w:rPr>
        <w:t>).</w:t>
      </w:r>
      <w:r w:rsidR="0006266A">
        <w:t xml:space="preserve"> Lain mukaan tutkintapoliisin rakenne on</w:t>
      </w:r>
      <w:r w:rsidR="00B87BB2">
        <w:t xml:space="preserve"> jaettu kolmeen tasoon: </w:t>
      </w:r>
      <w:r w:rsidR="00C867AF">
        <w:t xml:space="preserve">1) </w:t>
      </w:r>
      <w:r w:rsidR="00B87BB2">
        <w:t>ylimpään johtoon, joka vastaa strategisesta suunnittelusta ja arvioinnista</w:t>
      </w:r>
      <w:r w:rsidR="00C867AF">
        <w:t>;</w:t>
      </w:r>
      <w:r w:rsidR="00B87BB2">
        <w:t xml:space="preserve"> </w:t>
      </w:r>
      <w:r w:rsidR="00C867AF">
        <w:t xml:space="preserve">2) </w:t>
      </w:r>
      <w:r w:rsidR="00B87BB2">
        <w:t xml:space="preserve">keskijohtoon, joka vastaa </w:t>
      </w:r>
      <w:r w:rsidR="00E259A8">
        <w:t>taktisella tasolla</w:t>
      </w:r>
      <w:r w:rsidR="00B87BB2">
        <w:t xml:space="preserve"> operatiivisesta suunnittelusta, valvonnasta ja arvioinnista; </w:t>
      </w:r>
      <w:r w:rsidR="00C867AF">
        <w:t xml:space="preserve">3) </w:t>
      </w:r>
      <w:r w:rsidR="00E259A8">
        <w:t>alimpaan ns. operatiiviseen tasoon, jonka vastuulla on perustutkimustoimien suorittaminen.</w:t>
      </w:r>
      <w:r w:rsidR="00E259A8">
        <w:rPr>
          <w:rStyle w:val="Alaviitteenviite"/>
        </w:rPr>
        <w:footnoteReference w:id="16"/>
      </w:r>
      <w:r w:rsidR="00E259A8">
        <w:t xml:space="preserve"> </w:t>
      </w:r>
    </w:p>
    <w:p w14:paraId="2547D07A" w14:textId="78800B72" w:rsidR="00BB05F1" w:rsidRDefault="00F359B9" w:rsidP="00BB05F1">
      <w:pPr>
        <w:rPr>
          <w:color w:val="000000" w:themeColor="text1"/>
        </w:rPr>
      </w:pPr>
      <w:proofErr w:type="spellStart"/>
      <w:r>
        <w:t>CICPC:tä</w:t>
      </w:r>
      <w:proofErr w:type="spellEnd"/>
      <w:r>
        <w:t xml:space="preserve"> edeltänyt tekninen oikeuspoliisiyksikkö perustettiin vuonna 1958, ja se toimi eri nimikkeiden</w:t>
      </w:r>
      <w:r w:rsidR="004B4F3F">
        <w:rPr>
          <w:rStyle w:val="Alaviitteenviite"/>
        </w:rPr>
        <w:footnoteReference w:id="17"/>
      </w:r>
      <w:r>
        <w:t xml:space="preserve"> alla vuoden 1999 perustuslain säätämiseen asti</w:t>
      </w:r>
      <w:r w:rsidR="00681B11">
        <w:t>.</w:t>
      </w:r>
      <w:r>
        <w:t xml:space="preserve"> </w:t>
      </w:r>
      <w:r w:rsidR="00681B11">
        <w:t>Perustuslain</w:t>
      </w:r>
      <w:r>
        <w:t xml:space="preserve"> artiklassa 332 todettiin tarve muodostaa </w:t>
      </w:r>
      <w:proofErr w:type="spellStart"/>
      <w:r>
        <w:t>CICPC:n</w:t>
      </w:r>
      <w:proofErr w:type="spellEnd"/>
      <w:r>
        <w:t xml:space="preserve"> kaltainen yksikkö entisen teknisen poliisiyksikön tilalle</w:t>
      </w:r>
      <w:r w:rsidR="00FE27E7">
        <w:t>. Y</w:t>
      </w:r>
      <w:r w:rsidR="006C6CA3">
        <w:t>k</w:t>
      </w:r>
      <w:r w:rsidR="00625570">
        <w:t>sikkö</w:t>
      </w:r>
      <w:r w:rsidR="00FA3D45">
        <w:t xml:space="preserve"> muuttui </w:t>
      </w:r>
      <w:r w:rsidR="00625570">
        <w:t xml:space="preserve">virallisesti </w:t>
      </w:r>
      <w:proofErr w:type="spellStart"/>
      <w:r w:rsidR="00FA3D45">
        <w:t>CICPC:ksi</w:t>
      </w:r>
      <w:proofErr w:type="spellEnd"/>
      <w:r w:rsidR="00FA3D45">
        <w:t xml:space="preserve"> vuonna 2001</w:t>
      </w:r>
      <w:r>
        <w:t>.</w:t>
      </w:r>
      <w:r>
        <w:rPr>
          <w:rStyle w:val="Alaviitteenviite"/>
        </w:rPr>
        <w:footnoteReference w:id="18"/>
      </w:r>
      <w:r w:rsidR="00BB05F1">
        <w:rPr>
          <w:color w:val="FF0000"/>
        </w:rPr>
        <w:t xml:space="preserve"> </w:t>
      </w:r>
      <w:r w:rsidR="00BB05F1">
        <w:t xml:space="preserve">Venezuelalaisen </w:t>
      </w:r>
      <w:proofErr w:type="spellStart"/>
      <w:r w:rsidR="00BB05F1">
        <w:t>Accesso</w:t>
      </w:r>
      <w:proofErr w:type="spellEnd"/>
      <w:r w:rsidR="00BB05F1">
        <w:t xml:space="preserve"> a la </w:t>
      </w:r>
      <w:proofErr w:type="spellStart"/>
      <w:r w:rsidR="00BB05F1">
        <w:t>Justicia</w:t>
      </w:r>
      <w:proofErr w:type="spellEnd"/>
      <w:r w:rsidR="00BB05F1">
        <w:t xml:space="preserve"> -kansalaisjärjestön mukaan CICPC on perustuslain 253 </w:t>
      </w:r>
      <w:r w:rsidR="00681B11">
        <w:t>artiklan</w:t>
      </w:r>
      <w:r w:rsidR="00BB05F1">
        <w:t xml:space="preserve"> mukaan osa hallinto-oikeusjärjestelmää</w:t>
      </w:r>
      <w:r w:rsidR="009D6F69">
        <w:t>, mutta p</w:t>
      </w:r>
      <w:r w:rsidR="00904690">
        <w:t>erustuslain 332 artiklassa se</w:t>
      </w:r>
      <w:r w:rsidR="00BB05F1">
        <w:t xml:space="preserve"> </w:t>
      </w:r>
      <w:r w:rsidR="00904690">
        <w:t>asetetaan</w:t>
      </w:r>
      <w:r w:rsidR="006C6CA3">
        <w:t xml:space="preserve"> Venezuelan</w:t>
      </w:r>
      <w:r w:rsidR="00904690">
        <w:t xml:space="preserve"> halli</w:t>
      </w:r>
      <w:r w:rsidR="00813741">
        <w:t xml:space="preserve">tuksen </w:t>
      </w:r>
      <w:r w:rsidR="00904690">
        <w:t>valvontaan</w:t>
      </w:r>
      <w:r w:rsidR="00BB05F1">
        <w:t xml:space="preserve">. </w:t>
      </w:r>
      <w:r w:rsidR="00904690">
        <w:t>Järjestön mukaan tämä ristiriita on</w:t>
      </w:r>
      <w:r w:rsidR="00BB05F1">
        <w:t xml:space="preserve"> </w:t>
      </w:r>
      <w:r w:rsidR="00904690">
        <w:t xml:space="preserve">palvellut </w:t>
      </w:r>
      <w:r w:rsidR="00BB05F1" w:rsidRPr="000F5E0F">
        <w:t>maa</w:t>
      </w:r>
      <w:r w:rsidR="0018118D">
        <w:t>ssa</w:t>
      </w:r>
      <w:r w:rsidR="00BB05F1" w:rsidRPr="000F5E0F">
        <w:t xml:space="preserve"> yli 20 vuotta </w:t>
      </w:r>
      <w:r w:rsidR="0018118D">
        <w:t>v</w:t>
      </w:r>
      <w:r w:rsidR="00BB05F1" w:rsidRPr="000F5E0F">
        <w:t>allinnut</w:t>
      </w:r>
      <w:r w:rsidR="00904690" w:rsidRPr="000F5E0F">
        <w:t>ta</w:t>
      </w:r>
      <w:r w:rsidR="00BB05F1" w:rsidRPr="000F5E0F">
        <w:t xml:space="preserve"> poliittista</w:t>
      </w:r>
      <w:r w:rsidR="00BB05F1">
        <w:t xml:space="preserve"> järjestelmää</w:t>
      </w:r>
      <w:r w:rsidR="0000753E">
        <w:rPr>
          <w:rStyle w:val="Alaviitteenviite"/>
        </w:rPr>
        <w:footnoteReference w:id="19"/>
      </w:r>
      <w:r w:rsidR="00BB05F1">
        <w:t xml:space="preserve">, </w:t>
      </w:r>
      <w:r w:rsidR="00904690">
        <w:t>jolle</w:t>
      </w:r>
      <w:r w:rsidR="00BB05F1">
        <w:t xml:space="preserve"> </w:t>
      </w:r>
      <w:r w:rsidR="00904690">
        <w:t xml:space="preserve">CICPC on </w:t>
      </w:r>
      <w:r w:rsidR="006C6CA3">
        <w:t>tarjonnut mahdollisuuden</w:t>
      </w:r>
      <w:r w:rsidR="00904690">
        <w:t xml:space="preserve"> </w:t>
      </w:r>
      <w:r w:rsidR="00BB05F1">
        <w:t>sekaantua</w:t>
      </w:r>
      <w:r w:rsidR="00904690">
        <w:t xml:space="preserve"> </w:t>
      </w:r>
      <w:r w:rsidR="006C6CA3">
        <w:t xml:space="preserve">maan </w:t>
      </w:r>
      <w:r w:rsidR="00BB05F1">
        <w:t>oikeuslaitoksen toimintaan</w:t>
      </w:r>
      <w:r w:rsidR="00904690">
        <w:t xml:space="preserve">. Maan hallinto ei ole myöskään puuttunut </w:t>
      </w:r>
      <w:proofErr w:type="spellStart"/>
      <w:r w:rsidR="00904690">
        <w:t>CICPC:n</w:t>
      </w:r>
      <w:proofErr w:type="spellEnd"/>
      <w:r w:rsidR="00904690">
        <w:t xml:space="preserve"> toimintaan liittyviin väärinkäytöksiin vaan päinvastoin edistänyt niitä.</w:t>
      </w:r>
      <w:r w:rsidR="00904690">
        <w:rPr>
          <w:rStyle w:val="Alaviitteenviite"/>
        </w:rPr>
        <w:footnoteReference w:id="20"/>
      </w:r>
      <w:r w:rsidR="00036C21">
        <w:t xml:space="preserve"> </w:t>
      </w:r>
      <w:r w:rsidR="003726B0">
        <w:rPr>
          <w:color w:val="000000" w:themeColor="text1"/>
        </w:rPr>
        <w:t>UN HRC</w:t>
      </w:r>
      <w:r w:rsidR="0000753E" w:rsidRPr="0000753E">
        <w:rPr>
          <w:color w:val="000000" w:themeColor="text1"/>
        </w:rPr>
        <w:t xml:space="preserve"> on todennut vuoden 2020 tiedonhankinta</w:t>
      </w:r>
      <w:r w:rsidR="00806DC9">
        <w:rPr>
          <w:color w:val="000000" w:themeColor="text1"/>
        </w:rPr>
        <w:t>raportissaan</w:t>
      </w:r>
      <w:r w:rsidR="0000753E" w:rsidRPr="0000753E">
        <w:rPr>
          <w:color w:val="000000" w:themeColor="text1"/>
        </w:rPr>
        <w:t>, että vuonna 2012 voimaan tull</w:t>
      </w:r>
      <w:r w:rsidR="00EF1EA8">
        <w:rPr>
          <w:color w:val="000000" w:themeColor="text1"/>
        </w:rPr>
        <w:t>ut laki</w:t>
      </w:r>
      <w:r w:rsidR="00EF1EA8">
        <w:rPr>
          <w:rStyle w:val="Alaviitteenviite"/>
          <w:color w:val="000000" w:themeColor="text1"/>
        </w:rPr>
        <w:footnoteReference w:id="21"/>
      </w:r>
      <w:r w:rsidR="0018118D">
        <w:rPr>
          <w:color w:val="000000" w:themeColor="text1"/>
        </w:rPr>
        <w:t xml:space="preserve"> </w:t>
      </w:r>
      <w:r w:rsidR="00EF1EA8">
        <w:rPr>
          <w:color w:val="000000" w:themeColor="text1"/>
        </w:rPr>
        <w:t>lisäsi</w:t>
      </w:r>
      <w:r w:rsidR="0000753E" w:rsidRPr="0000753E">
        <w:rPr>
          <w:color w:val="000000" w:themeColor="text1"/>
        </w:rPr>
        <w:t xml:space="preserve"> </w:t>
      </w:r>
      <w:proofErr w:type="spellStart"/>
      <w:r w:rsidR="0000753E" w:rsidRPr="0000753E">
        <w:rPr>
          <w:color w:val="000000" w:themeColor="text1"/>
        </w:rPr>
        <w:t>CICPC:n</w:t>
      </w:r>
      <w:proofErr w:type="spellEnd"/>
      <w:r w:rsidR="0000753E" w:rsidRPr="0000753E">
        <w:rPr>
          <w:color w:val="000000" w:themeColor="text1"/>
        </w:rPr>
        <w:t xml:space="preserve"> autonomia</w:t>
      </w:r>
      <w:r w:rsidR="00EF1EA8">
        <w:rPr>
          <w:color w:val="000000" w:themeColor="text1"/>
        </w:rPr>
        <w:t>a</w:t>
      </w:r>
      <w:r w:rsidR="0000753E" w:rsidRPr="0000753E">
        <w:rPr>
          <w:color w:val="000000" w:themeColor="text1"/>
        </w:rPr>
        <w:t xml:space="preserve"> ja harkintavalta</w:t>
      </w:r>
      <w:r w:rsidR="00EF1EA8">
        <w:rPr>
          <w:color w:val="000000" w:themeColor="text1"/>
        </w:rPr>
        <w:t>a</w:t>
      </w:r>
      <w:r w:rsidR="0000753E" w:rsidRPr="0000753E">
        <w:rPr>
          <w:color w:val="000000" w:themeColor="text1"/>
        </w:rPr>
        <w:t xml:space="preserve"> rikostutkintaprosesseissa. Vuonna 2012 tehdyillä uudistuksilla poistettiin myös syyttäjänviraston </w:t>
      </w:r>
      <w:proofErr w:type="spellStart"/>
      <w:r w:rsidR="0000753E" w:rsidRPr="0000753E">
        <w:rPr>
          <w:color w:val="000000" w:themeColor="text1"/>
        </w:rPr>
        <w:t>CICPC:hen</w:t>
      </w:r>
      <w:proofErr w:type="spellEnd"/>
      <w:r w:rsidR="0000753E" w:rsidRPr="0000753E">
        <w:rPr>
          <w:color w:val="000000" w:themeColor="text1"/>
        </w:rPr>
        <w:t xml:space="preserve"> kohdistama kurinpidollinen valvonta. Lisäksi la</w:t>
      </w:r>
      <w:r w:rsidR="0018118D">
        <w:rPr>
          <w:color w:val="000000" w:themeColor="text1"/>
        </w:rPr>
        <w:t>issa sallittiin</w:t>
      </w:r>
      <w:r w:rsidR="0000753E" w:rsidRPr="0000753E">
        <w:rPr>
          <w:color w:val="000000" w:themeColor="text1"/>
        </w:rPr>
        <w:t xml:space="preserve"> </w:t>
      </w:r>
      <w:proofErr w:type="spellStart"/>
      <w:r w:rsidR="0000753E" w:rsidRPr="0000753E">
        <w:rPr>
          <w:color w:val="000000" w:themeColor="text1"/>
        </w:rPr>
        <w:t>CICPC:n</w:t>
      </w:r>
      <w:proofErr w:type="spellEnd"/>
      <w:r w:rsidR="0000753E" w:rsidRPr="0000753E">
        <w:rPr>
          <w:color w:val="000000" w:themeColor="text1"/>
        </w:rPr>
        <w:t xml:space="preserve"> voimankäyt</w:t>
      </w:r>
      <w:r w:rsidR="0018118D">
        <w:rPr>
          <w:color w:val="000000" w:themeColor="text1"/>
        </w:rPr>
        <w:t>tö</w:t>
      </w:r>
      <w:r w:rsidR="0000753E" w:rsidRPr="0000753E">
        <w:rPr>
          <w:color w:val="000000" w:themeColor="text1"/>
        </w:rPr>
        <w:t xml:space="preserve">, mukaan lukien kuolettava </w:t>
      </w:r>
      <w:r w:rsidR="0018118D">
        <w:rPr>
          <w:color w:val="000000" w:themeColor="text1"/>
        </w:rPr>
        <w:t>sellainen</w:t>
      </w:r>
      <w:r w:rsidR="0000753E" w:rsidRPr="0000753E">
        <w:rPr>
          <w:color w:val="000000" w:themeColor="text1"/>
        </w:rPr>
        <w:t>, mikäli se on tarpeen poliisin tai kolmannen osapuolen hengen suojelemiseksi.</w:t>
      </w:r>
      <w:r w:rsidR="0000753E" w:rsidRPr="0000753E">
        <w:rPr>
          <w:rStyle w:val="Alaviitteenviite"/>
          <w:color w:val="000000" w:themeColor="text1"/>
        </w:rPr>
        <w:footnoteReference w:id="22"/>
      </w:r>
      <w:r w:rsidR="0000753E" w:rsidRPr="0000753E">
        <w:rPr>
          <w:color w:val="000000" w:themeColor="text1"/>
        </w:rPr>
        <w:t xml:space="preserve"> </w:t>
      </w:r>
      <w:r w:rsidR="00FF6321">
        <w:rPr>
          <w:color w:val="000000" w:themeColor="text1"/>
        </w:rPr>
        <w:t xml:space="preserve">Myös </w:t>
      </w:r>
      <w:proofErr w:type="spellStart"/>
      <w:r w:rsidR="00367D2C">
        <w:rPr>
          <w:color w:val="000000" w:themeColor="text1"/>
        </w:rPr>
        <w:t>Acceso</w:t>
      </w:r>
      <w:proofErr w:type="spellEnd"/>
      <w:r w:rsidR="00367D2C">
        <w:rPr>
          <w:color w:val="000000" w:themeColor="text1"/>
        </w:rPr>
        <w:t xml:space="preserve"> a la </w:t>
      </w:r>
      <w:proofErr w:type="spellStart"/>
      <w:r w:rsidR="00367D2C">
        <w:rPr>
          <w:color w:val="000000" w:themeColor="text1"/>
        </w:rPr>
        <w:t>Justicia</w:t>
      </w:r>
      <w:proofErr w:type="spellEnd"/>
      <w:r w:rsidR="00367D2C">
        <w:rPr>
          <w:color w:val="000000" w:themeColor="text1"/>
        </w:rPr>
        <w:t xml:space="preserve"> -järjestö on todennut, että vuoden 2012 uudistukset lisäsivät </w:t>
      </w:r>
      <w:proofErr w:type="spellStart"/>
      <w:r w:rsidR="00367D2C">
        <w:rPr>
          <w:color w:val="000000" w:themeColor="text1"/>
        </w:rPr>
        <w:t>CICPC:n</w:t>
      </w:r>
      <w:proofErr w:type="spellEnd"/>
      <w:r w:rsidR="00367D2C">
        <w:rPr>
          <w:color w:val="000000" w:themeColor="text1"/>
        </w:rPr>
        <w:t xml:space="preserve"> autonomiaa ja heikensivät </w:t>
      </w:r>
      <w:r w:rsidR="00DE366A">
        <w:rPr>
          <w:color w:val="000000" w:themeColor="text1"/>
        </w:rPr>
        <w:t>syyttäjänviraston</w:t>
      </w:r>
      <w:r w:rsidR="00367D2C">
        <w:rPr>
          <w:color w:val="000000" w:themeColor="text1"/>
        </w:rPr>
        <w:t xml:space="preserve"> kykyä koordinoida rikostutkintoja.</w:t>
      </w:r>
      <w:r w:rsidR="00367D2C">
        <w:rPr>
          <w:rStyle w:val="Alaviitteenviite"/>
          <w:color w:val="000000" w:themeColor="text1"/>
        </w:rPr>
        <w:footnoteReference w:id="23"/>
      </w:r>
      <w:r w:rsidR="00367D2C">
        <w:rPr>
          <w:color w:val="000000" w:themeColor="text1"/>
        </w:rPr>
        <w:t xml:space="preserve"> </w:t>
      </w:r>
      <w:r w:rsidR="00FA3D45">
        <w:rPr>
          <w:color w:val="000000" w:themeColor="text1"/>
        </w:rPr>
        <w:t xml:space="preserve">Toisessa samaisen järjestön raportissa </w:t>
      </w:r>
      <w:r w:rsidR="00FA3D45">
        <w:rPr>
          <w:color w:val="000000" w:themeColor="text1"/>
        </w:rPr>
        <w:lastRenderedPageBreak/>
        <w:t xml:space="preserve">todetaan, että </w:t>
      </w:r>
      <w:proofErr w:type="spellStart"/>
      <w:r w:rsidR="00FA3D45">
        <w:rPr>
          <w:color w:val="000000" w:themeColor="text1"/>
        </w:rPr>
        <w:t>CICPC:n</w:t>
      </w:r>
      <w:proofErr w:type="spellEnd"/>
      <w:r w:rsidR="00FA3D45">
        <w:rPr>
          <w:color w:val="000000" w:themeColor="text1"/>
        </w:rPr>
        <w:t xml:space="preserve"> autonomian kasvaminen on </w:t>
      </w:r>
      <w:r w:rsidR="00FA2681">
        <w:rPr>
          <w:color w:val="000000" w:themeColor="text1"/>
        </w:rPr>
        <w:t xml:space="preserve">”paradoksaalista” </w:t>
      </w:r>
      <w:r w:rsidR="00FE27E7">
        <w:rPr>
          <w:color w:val="000000" w:themeColor="text1"/>
        </w:rPr>
        <w:t>ottaen huomioon</w:t>
      </w:r>
      <w:r w:rsidR="00FA2681">
        <w:rPr>
          <w:color w:val="000000" w:themeColor="text1"/>
        </w:rPr>
        <w:t>, että</w:t>
      </w:r>
      <w:r w:rsidR="00FA3D45">
        <w:rPr>
          <w:color w:val="000000" w:themeColor="text1"/>
        </w:rPr>
        <w:t xml:space="preserve"> sitä </w:t>
      </w:r>
      <w:r w:rsidR="00FA2681">
        <w:rPr>
          <w:color w:val="000000" w:themeColor="text1"/>
        </w:rPr>
        <w:t>on pidetty Venezuelan kuolettavimpana turvallisuusviranomaisena.</w:t>
      </w:r>
      <w:r w:rsidR="00FA2681">
        <w:rPr>
          <w:rStyle w:val="Alaviitteenviite"/>
          <w:color w:val="000000" w:themeColor="text1"/>
        </w:rPr>
        <w:footnoteReference w:id="24"/>
      </w:r>
      <w:r w:rsidR="00FA2681">
        <w:rPr>
          <w:color w:val="000000" w:themeColor="text1"/>
        </w:rPr>
        <w:t xml:space="preserve"> </w:t>
      </w:r>
      <w:r w:rsidR="0000753E" w:rsidRPr="0000753E">
        <w:rPr>
          <w:color w:val="000000" w:themeColor="text1"/>
        </w:rPr>
        <w:t xml:space="preserve">Toisaalta </w:t>
      </w:r>
      <w:r w:rsidR="00A34AC4">
        <w:rPr>
          <w:color w:val="000000" w:themeColor="text1"/>
        </w:rPr>
        <w:t>Reuters -uutistoimiston</w:t>
      </w:r>
      <w:r w:rsidR="0000753E" w:rsidRPr="0000753E">
        <w:rPr>
          <w:color w:val="000000" w:themeColor="text1"/>
        </w:rPr>
        <w:t xml:space="preserve"> </w:t>
      </w:r>
      <w:r w:rsidR="0029449E">
        <w:rPr>
          <w:color w:val="000000" w:themeColor="text1"/>
        </w:rPr>
        <w:t xml:space="preserve">vuonna 2019 </w:t>
      </w:r>
      <w:r w:rsidR="002F0090">
        <w:rPr>
          <w:color w:val="000000" w:themeColor="text1"/>
        </w:rPr>
        <w:t xml:space="preserve">julkaisemassa </w:t>
      </w:r>
      <w:r w:rsidR="00470FBC">
        <w:rPr>
          <w:color w:val="000000" w:themeColor="text1"/>
        </w:rPr>
        <w:t>raportissa</w:t>
      </w:r>
      <w:r w:rsidR="002F0090">
        <w:rPr>
          <w:color w:val="000000" w:themeColor="text1"/>
        </w:rPr>
        <w:t xml:space="preserve"> on todettu,</w:t>
      </w:r>
      <w:r w:rsidR="0000753E" w:rsidRPr="0000753E">
        <w:rPr>
          <w:color w:val="000000" w:themeColor="text1"/>
        </w:rPr>
        <w:t xml:space="preserve"> että sen jälkeen, kun hallintoa vastustanut </w:t>
      </w:r>
      <w:proofErr w:type="spellStart"/>
      <w:r w:rsidR="0000753E" w:rsidRPr="0000753E">
        <w:rPr>
          <w:color w:val="000000" w:themeColor="text1"/>
        </w:rPr>
        <w:t>CICPC:n</w:t>
      </w:r>
      <w:proofErr w:type="spellEnd"/>
      <w:r w:rsidR="0000753E" w:rsidRPr="0000753E">
        <w:rPr>
          <w:color w:val="000000" w:themeColor="text1"/>
        </w:rPr>
        <w:t xml:space="preserve"> entinen jäsen Oscar </w:t>
      </w:r>
      <w:proofErr w:type="spellStart"/>
      <w:r w:rsidR="0000753E" w:rsidRPr="0000753E">
        <w:rPr>
          <w:color w:val="000000" w:themeColor="text1"/>
        </w:rPr>
        <w:t>Peréz</w:t>
      </w:r>
      <w:proofErr w:type="spellEnd"/>
      <w:r w:rsidR="0000753E" w:rsidRPr="0000753E">
        <w:rPr>
          <w:color w:val="000000" w:themeColor="text1"/>
        </w:rPr>
        <w:t xml:space="preserve"> </w:t>
      </w:r>
      <w:r w:rsidR="0043240F">
        <w:rPr>
          <w:color w:val="000000" w:themeColor="text1"/>
        </w:rPr>
        <w:t>tulitti</w:t>
      </w:r>
      <w:r w:rsidR="0018118D">
        <w:rPr>
          <w:color w:val="000000" w:themeColor="text1"/>
        </w:rPr>
        <w:t xml:space="preserve"> </w:t>
      </w:r>
      <w:r w:rsidR="0000753E" w:rsidRPr="0000753E">
        <w:rPr>
          <w:color w:val="000000" w:themeColor="text1"/>
        </w:rPr>
        <w:t xml:space="preserve">hallinnon </w:t>
      </w:r>
      <w:r w:rsidR="0000753E" w:rsidRPr="0040715D">
        <w:rPr>
          <w:color w:val="000000" w:themeColor="text1"/>
        </w:rPr>
        <w:t>rakennuksi</w:t>
      </w:r>
      <w:r w:rsidR="0018118D">
        <w:rPr>
          <w:color w:val="000000" w:themeColor="text1"/>
        </w:rPr>
        <w:t xml:space="preserve">a </w:t>
      </w:r>
      <w:r w:rsidR="009366B6" w:rsidRPr="0040715D">
        <w:rPr>
          <w:color w:val="000000" w:themeColor="text1"/>
        </w:rPr>
        <w:t>kesäkuussa 2017</w:t>
      </w:r>
      <w:r w:rsidR="002F0090" w:rsidRPr="0040715D">
        <w:rPr>
          <w:rStyle w:val="Alaviitteenviite"/>
          <w:color w:val="000000" w:themeColor="text1"/>
        </w:rPr>
        <w:footnoteReference w:id="25"/>
      </w:r>
      <w:r w:rsidR="00E129E5">
        <w:rPr>
          <w:color w:val="000000" w:themeColor="text1"/>
        </w:rPr>
        <w:t>,</w:t>
      </w:r>
      <w:r w:rsidR="0000753E" w:rsidRPr="0040715D">
        <w:rPr>
          <w:color w:val="000000" w:themeColor="text1"/>
        </w:rPr>
        <w:t xml:space="preserve"> </w:t>
      </w:r>
      <w:proofErr w:type="spellStart"/>
      <w:r w:rsidR="0000753E" w:rsidRPr="0000753E">
        <w:rPr>
          <w:color w:val="000000" w:themeColor="text1"/>
        </w:rPr>
        <w:t>CICPC:n</w:t>
      </w:r>
      <w:proofErr w:type="spellEnd"/>
      <w:r w:rsidR="0000753E" w:rsidRPr="0000753E">
        <w:rPr>
          <w:color w:val="000000" w:themeColor="text1"/>
        </w:rPr>
        <w:t xml:space="preserve"> </w:t>
      </w:r>
      <w:r w:rsidR="000D7188">
        <w:rPr>
          <w:color w:val="000000" w:themeColor="text1"/>
        </w:rPr>
        <w:t>velvollisuu</w:t>
      </w:r>
      <w:r w:rsidR="007429A9">
        <w:rPr>
          <w:color w:val="000000" w:themeColor="text1"/>
        </w:rPr>
        <w:t>det</w:t>
      </w:r>
      <w:r w:rsidR="0000753E" w:rsidRPr="0000753E">
        <w:rPr>
          <w:color w:val="000000" w:themeColor="text1"/>
        </w:rPr>
        <w:t xml:space="preserve"> kutistettiin </w:t>
      </w:r>
      <w:r w:rsidR="00BE2BE4">
        <w:rPr>
          <w:color w:val="000000" w:themeColor="text1"/>
        </w:rPr>
        <w:t xml:space="preserve">lähinnä </w:t>
      </w:r>
      <w:r w:rsidR="0000753E" w:rsidRPr="0000753E">
        <w:rPr>
          <w:color w:val="000000" w:themeColor="text1"/>
        </w:rPr>
        <w:t>rikostekniselle tasolle</w:t>
      </w:r>
      <w:r w:rsidR="00143043">
        <w:rPr>
          <w:color w:val="000000" w:themeColor="text1"/>
        </w:rPr>
        <w:t>. Käytännössä sen toiminta valjastettiin</w:t>
      </w:r>
      <w:r w:rsidR="0000753E" w:rsidRPr="0000753E">
        <w:rPr>
          <w:color w:val="000000" w:themeColor="text1"/>
        </w:rPr>
        <w:t xml:space="preserve"> palvelemaan</w:t>
      </w:r>
      <w:r w:rsidR="004B4F3F">
        <w:rPr>
          <w:color w:val="000000" w:themeColor="text1"/>
        </w:rPr>
        <w:t xml:space="preserve"> silloisen</w:t>
      </w:r>
      <w:r w:rsidR="0000753E" w:rsidRPr="0000753E">
        <w:rPr>
          <w:color w:val="000000" w:themeColor="text1"/>
        </w:rPr>
        <w:t xml:space="preserve"> </w:t>
      </w:r>
      <w:proofErr w:type="spellStart"/>
      <w:r w:rsidR="0000753E" w:rsidRPr="0000753E">
        <w:rPr>
          <w:color w:val="000000" w:themeColor="text1"/>
        </w:rPr>
        <w:t>FAES:in</w:t>
      </w:r>
      <w:proofErr w:type="spellEnd"/>
      <w:r w:rsidR="0029449E">
        <w:rPr>
          <w:color w:val="000000" w:themeColor="text1"/>
        </w:rPr>
        <w:t xml:space="preserve"> (</w:t>
      </w:r>
      <w:proofErr w:type="spellStart"/>
      <w:r w:rsidR="0029449E" w:rsidRPr="0029449E">
        <w:rPr>
          <w:i/>
          <w:color w:val="000000" w:themeColor="text1"/>
        </w:rPr>
        <w:t>Fuerzas</w:t>
      </w:r>
      <w:proofErr w:type="spellEnd"/>
      <w:r w:rsidR="0029449E" w:rsidRPr="0029449E">
        <w:rPr>
          <w:i/>
          <w:color w:val="000000" w:themeColor="text1"/>
        </w:rPr>
        <w:t xml:space="preserve"> de </w:t>
      </w:r>
      <w:proofErr w:type="spellStart"/>
      <w:r w:rsidR="0029449E" w:rsidRPr="0029449E">
        <w:rPr>
          <w:i/>
          <w:color w:val="000000" w:themeColor="text1"/>
        </w:rPr>
        <w:t>Acciones</w:t>
      </w:r>
      <w:proofErr w:type="spellEnd"/>
      <w:r w:rsidR="0029449E" w:rsidRPr="0029449E">
        <w:rPr>
          <w:i/>
          <w:color w:val="000000" w:themeColor="text1"/>
        </w:rPr>
        <w:t xml:space="preserve"> </w:t>
      </w:r>
      <w:proofErr w:type="spellStart"/>
      <w:r w:rsidR="0029449E" w:rsidRPr="0029449E">
        <w:rPr>
          <w:i/>
          <w:color w:val="000000" w:themeColor="text1"/>
        </w:rPr>
        <w:t>Especiales</w:t>
      </w:r>
      <w:proofErr w:type="spellEnd"/>
      <w:r w:rsidR="0029449E" w:rsidRPr="0029449E">
        <w:rPr>
          <w:i/>
          <w:color w:val="000000" w:themeColor="text1"/>
        </w:rPr>
        <w:t xml:space="preserve"> de la </w:t>
      </w:r>
      <w:proofErr w:type="spellStart"/>
      <w:r w:rsidR="0029449E" w:rsidRPr="0029449E">
        <w:rPr>
          <w:i/>
          <w:color w:val="000000" w:themeColor="text1"/>
        </w:rPr>
        <w:t>Policía</w:t>
      </w:r>
      <w:proofErr w:type="spellEnd"/>
      <w:r w:rsidR="0029449E" w:rsidRPr="0029449E">
        <w:rPr>
          <w:i/>
          <w:color w:val="000000" w:themeColor="text1"/>
        </w:rPr>
        <w:t xml:space="preserve"> </w:t>
      </w:r>
      <w:proofErr w:type="spellStart"/>
      <w:r w:rsidR="0029449E" w:rsidRPr="0029449E">
        <w:rPr>
          <w:i/>
          <w:color w:val="000000" w:themeColor="text1"/>
        </w:rPr>
        <w:t>Nacional</w:t>
      </w:r>
      <w:proofErr w:type="spellEnd"/>
      <w:r w:rsidR="0029449E" w:rsidRPr="0029449E">
        <w:rPr>
          <w:i/>
          <w:color w:val="000000" w:themeColor="text1"/>
        </w:rPr>
        <w:t xml:space="preserve"> </w:t>
      </w:r>
      <w:proofErr w:type="spellStart"/>
      <w:r w:rsidR="0029449E" w:rsidRPr="0029449E">
        <w:rPr>
          <w:i/>
          <w:color w:val="000000" w:themeColor="text1"/>
        </w:rPr>
        <w:t>Bolivariana</w:t>
      </w:r>
      <w:proofErr w:type="spellEnd"/>
      <w:r w:rsidR="002F0090">
        <w:rPr>
          <w:rStyle w:val="Alaviitteenviite"/>
          <w:color w:val="000000" w:themeColor="text1"/>
        </w:rPr>
        <w:footnoteReference w:id="26"/>
      </w:r>
      <w:r w:rsidR="0029449E">
        <w:rPr>
          <w:color w:val="000000" w:themeColor="text1"/>
        </w:rPr>
        <w:t>) tarpeita</w:t>
      </w:r>
      <w:r w:rsidR="0000753E" w:rsidRPr="0000753E">
        <w:rPr>
          <w:color w:val="000000" w:themeColor="text1"/>
        </w:rPr>
        <w:t>.</w:t>
      </w:r>
      <w:r w:rsidR="00E129E5">
        <w:rPr>
          <w:color w:val="000000" w:themeColor="text1"/>
        </w:rPr>
        <w:t xml:space="preserve"> Tiedot perustuvat </w:t>
      </w:r>
      <w:proofErr w:type="spellStart"/>
      <w:r w:rsidR="00E129E5">
        <w:rPr>
          <w:color w:val="000000" w:themeColor="text1"/>
        </w:rPr>
        <w:t>CICPC:n</w:t>
      </w:r>
      <w:proofErr w:type="spellEnd"/>
      <w:r w:rsidR="00E129E5">
        <w:rPr>
          <w:color w:val="000000" w:themeColor="text1"/>
        </w:rPr>
        <w:t xml:space="preserve"> ja kansallisen poliisin virkamiesten kertomuksiin</w:t>
      </w:r>
      <w:r w:rsidR="00FC340F">
        <w:rPr>
          <w:color w:val="000000" w:themeColor="text1"/>
        </w:rPr>
        <w:t>.</w:t>
      </w:r>
      <w:r w:rsidR="00A34AC4">
        <w:rPr>
          <w:rStyle w:val="Alaviitteenviite"/>
          <w:color w:val="000000" w:themeColor="text1"/>
        </w:rPr>
        <w:footnoteReference w:id="27"/>
      </w:r>
    </w:p>
    <w:p w14:paraId="5079E4F5" w14:textId="7067FD24" w:rsidR="00BE2BE4" w:rsidRPr="00BE2BE4" w:rsidRDefault="003726B0" w:rsidP="00BB05F1">
      <w:r>
        <w:t xml:space="preserve">UN </w:t>
      </w:r>
      <w:proofErr w:type="spellStart"/>
      <w:r>
        <w:t>HRC</w:t>
      </w:r>
      <w:r w:rsidR="00BE2BE4">
        <w:t>:n</w:t>
      </w:r>
      <w:proofErr w:type="spellEnd"/>
      <w:r w:rsidR="00BE2BE4">
        <w:t xml:space="preserve"> vuoden 2021 tiedonhankintaraportin mukaan CICPC ei yleensä tutki oletettu</w:t>
      </w:r>
      <w:r w:rsidR="00FE27E7">
        <w:t xml:space="preserve">ihin </w:t>
      </w:r>
      <w:r w:rsidR="00BE2BE4">
        <w:t>hallinnon vastustaji</w:t>
      </w:r>
      <w:r w:rsidR="00FE27E7">
        <w:t>in</w:t>
      </w:r>
      <w:r w:rsidR="00BE2BE4">
        <w:t xml:space="preserve"> </w:t>
      </w:r>
      <w:r w:rsidR="00FE27E7">
        <w:t>liittyviä</w:t>
      </w:r>
      <w:r w:rsidR="00BE2BE4">
        <w:t xml:space="preserve"> tapauksia, vaan ne siirretään joko siviilitiedustelupalvelulle </w:t>
      </w:r>
      <w:r w:rsidR="00BE2BE4" w:rsidRPr="00DC4729">
        <w:rPr>
          <w:color w:val="000000" w:themeColor="text1"/>
        </w:rPr>
        <w:t xml:space="preserve">(SEBIN / </w:t>
      </w:r>
      <w:proofErr w:type="spellStart"/>
      <w:r w:rsidR="00BE2BE4" w:rsidRPr="00806DC9">
        <w:rPr>
          <w:i/>
          <w:color w:val="000000" w:themeColor="text1"/>
        </w:rPr>
        <w:t>Servicio</w:t>
      </w:r>
      <w:proofErr w:type="spellEnd"/>
      <w:r w:rsidR="00BE2BE4" w:rsidRPr="00806DC9">
        <w:rPr>
          <w:i/>
          <w:color w:val="000000" w:themeColor="text1"/>
        </w:rPr>
        <w:t xml:space="preserve"> </w:t>
      </w:r>
      <w:proofErr w:type="spellStart"/>
      <w:r w:rsidR="00BE2BE4" w:rsidRPr="00806DC9">
        <w:rPr>
          <w:i/>
          <w:color w:val="000000" w:themeColor="text1"/>
        </w:rPr>
        <w:t>Bolivariano</w:t>
      </w:r>
      <w:proofErr w:type="spellEnd"/>
      <w:r w:rsidR="00BE2BE4" w:rsidRPr="00806DC9">
        <w:rPr>
          <w:i/>
          <w:color w:val="000000" w:themeColor="text1"/>
        </w:rPr>
        <w:t xml:space="preserve"> de </w:t>
      </w:r>
      <w:proofErr w:type="spellStart"/>
      <w:r w:rsidR="00BE2BE4" w:rsidRPr="00806DC9">
        <w:rPr>
          <w:i/>
          <w:color w:val="000000" w:themeColor="text1"/>
        </w:rPr>
        <w:t>Inteligencia</w:t>
      </w:r>
      <w:proofErr w:type="spellEnd"/>
      <w:r w:rsidR="00BE2BE4" w:rsidRPr="00806DC9">
        <w:rPr>
          <w:i/>
          <w:color w:val="000000" w:themeColor="text1"/>
        </w:rPr>
        <w:t xml:space="preserve"> </w:t>
      </w:r>
      <w:proofErr w:type="spellStart"/>
      <w:r w:rsidR="00BE2BE4" w:rsidRPr="00806DC9">
        <w:rPr>
          <w:i/>
          <w:color w:val="000000" w:themeColor="text1"/>
        </w:rPr>
        <w:t>Nacional</w:t>
      </w:r>
      <w:proofErr w:type="spellEnd"/>
      <w:r w:rsidR="00BE2BE4" w:rsidRPr="00DC4729">
        <w:rPr>
          <w:color w:val="000000" w:themeColor="text1"/>
        </w:rPr>
        <w:t>)</w:t>
      </w:r>
      <w:r w:rsidR="00BE2BE4">
        <w:t xml:space="preserve"> tai sotilaalliselle tiedustelupalvelulle </w:t>
      </w:r>
      <w:r w:rsidR="00BE2BE4" w:rsidRPr="00DC4729">
        <w:rPr>
          <w:color w:val="000000" w:themeColor="text1"/>
        </w:rPr>
        <w:t>(</w:t>
      </w:r>
      <w:r w:rsidR="00BE2BE4">
        <w:rPr>
          <w:color w:val="000000" w:themeColor="text1"/>
        </w:rPr>
        <w:t xml:space="preserve">DGCIM </w:t>
      </w:r>
      <w:r w:rsidR="00BE2BE4" w:rsidRPr="00806DC9">
        <w:rPr>
          <w:i/>
          <w:color w:val="000000" w:themeColor="text1"/>
        </w:rPr>
        <w:t xml:space="preserve">/ </w:t>
      </w:r>
      <w:proofErr w:type="spellStart"/>
      <w:r w:rsidR="00BE2BE4" w:rsidRPr="00806DC9">
        <w:rPr>
          <w:i/>
          <w:color w:val="000000" w:themeColor="text1"/>
        </w:rPr>
        <w:t>Dirección</w:t>
      </w:r>
      <w:proofErr w:type="spellEnd"/>
      <w:r w:rsidR="00BE2BE4" w:rsidRPr="00806DC9">
        <w:rPr>
          <w:i/>
          <w:color w:val="000000" w:themeColor="text1"/>
        </w:rPr>
        <w:t xml:space="preserve"> General de </w:t>
      </w:r>
      <w:proofErr w:type="spellStart"/>
      <w:r w:rsidR="00BE2BE4" w:rsidRPr="00806DC9">
        <w:rPr>
          <w:i/>
          <w:color w:val="000000" w:themeColor="text1"/>
        </w:rPr>
        <w:t>Contrainteligencia</w:t>
      </w:r>
      <w:proofErr w:type="spellEnd"/>
      <w:r w:rsidR="00BE2BE4" w:rsidRPr="00806DC9">
        <w:rPr>
          <w:i/>
          <w:color w:val="000000" w:themeColor="text1"/>
        </w:rPr>
        <w:t xml:space="preserve"> </w:t>
      </w:r>
      <w:proofErr w:type="spellStart"/>
      <w:r w:rsidR="00BE2BE4" w:rsidRPr="00806DC9">
        <w:rPr>
          <w:i/>
          <w:color w:val="000000" w:themeColor="text1"/>
        </w:rPr>
        <w:t>Militar</w:t>
      </w:r>
      <w:proofErr w:type="spellEnd"/>
      <w:r w:rsidR="00BE2BE4" w:rsidRPr="00DC4729">
        <w:rPr>
          <w:color w:val="000000" w:themeColor="text1"/>
        </w:rPr>
        <w:t>)</w:t>
      </w:r>
      <w:r w:rsidR="00BE2BE4">
        <w:t>. Sama toimintatapa koskee poliittisia tai muuten arkaluontoisia korkean profiilin tapauksia.</w:t>
      </w:r>
      <w:r w:rsidR="00BE2BE4">
        <w:rPr>
          <w:rStyle w:val="Alaviitteenviite"/>
        </w:rPr>
        <w:footnoteReference w:id="28"/>
      </w:r>
      <w:r w:rsidR="00BE2BE4">
        <w:t xml:space="preserve"> </w:t>
      </w:r>
      <w:r w:rsidR="00143043">
        <w:t>Vuoden 2024</w:t>
      </w:r>
      <w:r w:rsidR="00BE2BE4">
        <w:t xml:space="preserve"> </w:t>
      </w:r>
      <w:r w:rsidR="00143043">
        <w:t>tiedonhankinta</w:t>
      </w:r>
      <w:r w:rsidR="00BE2BE4">
        <w:t>raportissa kerrotaan</w:t>
      </w:r>
      <w:r w:rsidR="00143043">
        <w:t xml:space="preserve"> myös</w:t>
      </w:r>
      <w:r w:rsidR="00BE2BE4">
        <w:t xml:space="preserve"> tapauksesta, jossa eräs kadonnut henkilö oli nähty </w:t>
      </w:r>
      <w:proofErr w:type="spellStart"/>
      <w:r w:rsidR="00BE2BE4">
        <w:rPr>
          <w:color w:val="000000" w:themeColor="text1"/>
        </w:rPr>
        <w:t>SEBIN:in</w:t>
      </w:r>
      <w:proofErr w:type="spellEnd"/>
      <w:r w:rsidR="00BE2BE4">
        <w:rPr>
          <w:color w:val="000000" w:themeColor="text1"/>
        </w:rPr>
        <w:t xml:space="preserve"> </w:t>
      </w:r>
      <w:r w:rsidR="00BE2BE4">
        <w:t xml:space="preserve">viranomaisen kanssa hetki ennen hänen katoamistaan. Kun asia oli tuotu ilmi, </w:t>
      </w:r>
      <w:proofErr w:type="spellStart"/>
      <w:r w:rsidR="00BE2BE4">
        <w:t>CICPC:n</w:t>
      </w:r>
      <w:proofErr w:type="spellEnd"/>
      <w:r w:rsidR="00BE2BE4">
        <w:t xml:space="preserve"> ja </w:t>
      </w:r>
      <w:proofErr w:type="spellStart"/>
      <w:r w:rsidR="00BE2BE4">
        <w:t>DGCIM:n</w:t>
      </w:r>
      <w:proofErr w:type="spellEnd"/>
      <w:r w:rsidR="00BE2BE4">
        <w:t xml:space="preserve"> viranomaiset olivat todenneet, että kyseessä oli poliittinen ongelma</w:t>
      </w:r>
      <w:r w:rsidR="006C6CA3">
        <w:t xml:space="preserve">, eivätkä he </w:t>
      </w:r>
      <w:r w:rsidR="00BE2BE4">
        <w:t>voineet puuttua siihen.</w:t>
      </w:r>
      <w:r w:rsidR="00BE2BE4">
        <w:rPr>
          <w:rStyle w:val="Alaviitteenviite"/>
        </w:rPr>
        <w:footnoteReference w:id="29"/>
      </w:r>
      <w:r w:rsidR="00BE2BE4">
        <w:t xml:space="preserve"> </w:t>
      </w:r>
    </w:p>
    <w:p w14:paraId="2C8728A9" w14:textId="6AB7A480" w:rsidR="00143043" w:rsidRPr="00355481" w:rsidRDefault="00C867AF" w:rsidP="00355481">
      <w:pPr>
        <w:pStyle w:val="Kommentinteksti"/>
        <w:rPr>
          <w:color w:val="000000" w:themeColor="text1"/>
        </w:rPr>
      </w:pPr>
      <w:r>
        <w:t>R</w:t>
      </w:r>
      <w:r w:rsidR="00151B14">
        <w:t>ikosoikeuden ja kriminologian professori</w:t>
      </w:r>
      <w:r w:rsidR="00A0026D">
        <w:t xml:space="preserve"> </w:t>
      </w:r>
      <w:proofErr w:type="spellStart"/>
      <w:r w:rsidR="00A0026D">
        <w:t>Keymer</w:t>
      </w:r>
      <w:proofErr w:type="spellEnd"/>
      <w:r w:rsidR="00A0026D">
        <w:t xml:space="preserve"> </w:t>
      </w:r>
      <w:proofErr w:type="spellStart"/>
      <w:r w:rsidR="00A0026D">
        <w:t>Ávila</w:t>
      </w:r>
      <w:proofErr w:type="spellEnd"/>
      <w:r w:rsidR="00151B14">
        <w:rPr>
          <w:rStyle w:val="Alaviitteenviite"/>
        </w:rPr>
        <w:footnoteReference w:id="30"/>
      </w:r>
      <w:r w:rsidR="00726F33">
        <w:t xml:space="preserve"> on kuvaillut </w:t>
      </w:r>
      <w:proofErr w:type="spellStart"/>
      <w:r w:rsidR="00726F33">
        <w:t>CICPC:</w:t>
      </w:r>
      <w:r w:rsidR="00A0026D">
        <w:t>n</w:t>
      </w:r>
      <w:proofErr w:type="spellEnd"/>
      <w:r w:rsidR="00A0026D">
        <w:t xml:space="preserve"> ja s</w:t>
      </w:r>
      <w:r w:rsidR="00143043">
        <w:t xml:space="preserve">en edeltäjän </w:t>
      </w:r>
      <w:r w:rsidR="00A0026D">
        <w:t>olleen jo 1900-luvulta asti</w:t>
      </w:r>
      <w:r w:rsidR="00726F33">
        <w:t xml:space="preserve"> Venezuelan kuolettavi</w:t>
      </w:r>
      <w:r w:rsidR="00A0026D">
        <w:t>n</w:t>
      </w:r>
      <w:r w:rsidR="00726F33">
        <w:t xml:space="preserve"> turvallisuusviranomai</w:t>
      </w:r>
      <w:r w:rsidR="00A0026D">
        <w:t>nen</w:t>
      </w:r>
      <w:r w:rsidR="00726F33">
        <w:t xml:space="preserve">. </w:t>
      </w:r>
      <w:proofErr w:type="spellStart"/>
      <w:r w:rsidR="00151B14">
        <w:t>Tarkastelujaksolla</w:t>
      </w:r>
      <w:proofErr w:type="spellEnd"/>
      <w:r w:rsidR="00151B14">
        <w:t xml:space="preserve"> 2016–2017 s</w:t>
      </w:r>
      <w:r w:rsidR="00726F33">
        <w:t xml:space="preserve">en osuus valtion viranomaisten </w:t>
      </w:r>
      <w:r w:rsidR="00143043">
        <w:t xml:space="preserve">tekemien </w:t>
      </w:r>
      <w:r w:rsidR="00726F33">
        <w:t>hyökkäysten aiheuttamista kuolemista oli 41 %.</w:t>
      </w:r>
      <w:r w:rsidR="00726F33">
        <w:rPr>
          <w:rStyle w:val="Alaviitteenviite"/>
        </w:rPr>
        <w:footnoteReference w:id="31"/>
      </w:r>
      <w:r w:rsidR="00726F33">
        <w:t xml:space="preserve"> </w:t>
      </w:r>
      <w:r w:rsidR="00670190">
        <w:t xml:space="preserve">Yhdysvaltain ulkoasiainministeriön (USDOS) vuotta 2023 käsittelevän ihmisoikeusraportin mukaan Venezuelassa tapahtui 355 laitonta teloitusta vuoden ensimmäisten kuuden kuukauden aikana. Kansallinen poliisi PNB </w:t>
      </w:r>
      <w:r w:rsidR="00625570">
        <w:t>(</w:t>
      </w:r>
      <w:proofErr w:type="spellStart"/>
      <w:r w:rsidR="00625570" w:rsidRPr="00625570">
        <w:rPr>
          <w:i/>
        </w:rPr>
        <w:t>Policía</w:t>
      </w:r>
      <w:proofErr w:type="spellEnd"/>
      <w:r w:rsidR="00625570" w:rsidRPr="00625570">
        <w:rPr>
          <w:i/>
        </w:rPr>
        <w:t xml:space="preserve"> </w:t>
      </w:r>
      <w:proofErr w:type="spellStart"/>
      <w:r w:rsidR="00625570" w:rsidRPr="00625570">
        <w:rPr>
          <w:i/>
        </w:rPr>
        <w:t>Nacional</w:t>
      </w:r>
      <w:proofErr w:type="spellEnd"/>
      <w:r w:rsidR="00625570" w:rsidRPr="00625570">
        <w:rPr>
          <w:i/>
        </w:rPr>
        <w:t xml:space="preserve"> </w:t>
      </w:r>
      <w:proofErr w:type="spellStart"/>
      <w:r w:rsidR="00625570" w:rsidRPr="00625570">
        <w:rPr>
          <w:i/>
        </w:rPr>
        <w:t>Bolivariana</w:t>
      </w:r>
      <w:proofErr w:type="spellEnd"/>
      <w:r w:rsidR="00625570">
        <w:t xml:space="preserve">) </w:t>
      </w:r>
      <w:r w:rsidR="00670190">
        <w:t>oli yleisin t</w:t>
      </w:r>
      <w:r w:rsidR="00625570">
        <w:t xml:space="preserve">oimija teloitusten taustalla, kun taas </w:t>
      </w:r>
      <w:r w:rsidR="00670190">
        <w:t xml:space="preserve">CICPC </w:t>
      </w:r>
      <w:r w:rsidR="00625570">
        <w:t xml:space="preserve">oli </w:t>
      </w:r>
      <w:r w:rsidR="00670190">
        <w:t>toisiksi yleisi</w:t>
      </w:r>
      <w:r w:rsidR="00511120">
        <w:t>n</w:t>
      </w:r>
      <w:r w:rsidR="00670190">
        <w:t>.</w:t>
      </w:r>
      <w:r w:rsidR="00670190">
        <w:rPr>
          <w:rStyle w:val="Alaviitteenviite"/>
        </w:rPr>
        <w:footnoteReference w:id="32"/>
      </w:r>
      <w:r w:rsidR="00263B20">
        <w:t xml:space="preserve"> </w:t>
      </w:r>
      <w:r w:rsidR="00BE2BE4">
        <w:t>Myös</w:t>
      </w:r>
      <w:r w:rsidR="00806DC9">
        <w:t xml:space="preserve"> </w:t>
      </w:r>
      <w:r w:rsidR="003726B0">
        <w:t xml:space="preserve">UN </w:t>
      </w:r>
      <w:proofErr w:type="spellStart"/>
      <w:r w:rsidR="003726B0">
        <w:t>HRC</w:t>
      </w:r>
      <w:r w:rsidR="000D7188">
        <w:t>:n</w:t>
      </w:r>
      <w:proofErr w:type="spellEnd"/>
      <w:r w:rsidR="000F5E0F">
        <w:t xml:space="preserve"> </w:t>
      </w:r>
      <w:r w:rsidR="006F5C52">
        <w:t xml:space="preserve">lokakuussa 2024 julkaisema tiedonhankintaraportti </w:t>
      </w:r>
      <w:r w:rsidR="0091549B">
        <w:t>kuvaile</w:t>
      </w:r>
      <w:r w:rsidR="006F5C52">
        <w:t>e</w:t>
      </w:r>
      <w:r w:rsidR="0091549B">
        <w:t xml:space="preserve"> </w:t>
      </w:r>
      <w:proofErr w:type="spellStart"/>
      <w:r w:rsidR="0091549B">
        <w:t>CICPC:</w:t>
      </w:r>
      <w:r w:rsidR="00013505">
        <w:t>hen</w:t>
      </w:r>
      <w:proofErr w:type="spellEnd"/>
      <w:r w:rsidR="00013505">
        <w:t xml:space="preserve"> yhdistettyjä </w:t>
      </w:r>
      <w:r w:rsidR="0091549B">
        <w:t>oikeudenloukkauksia</w:t>
      </w:r>
      <w:r w:rsidR="006F5C52">
        <w:t>,</w:t>
      </w:r>
      <w:r w:rsidR="00B62AB8">
        <w:t xml:space="preserve"> </w:t>
      </w:r>
      <w:r w:rsidR="006F5C52">
        <w:t>kuten</w:t>
      </w:r>
      <w:r w:rsidR="00B62AB8">
        <w:t xml:space="preserve"> </w:t>
      </w:r>
      <w:r w:rsidR="00511120">
        <w:t>laittomia tai epäselvissä olosuhteissa tehtyjä pidätyksiä</w:t>
      </w:r>
      <w:r w:rsidR="00013505">
        <w:rPr>
          <w:rStyle w:val="Alaviitteenviite"/>
        </w:rPr>
        <w:footnoteReference w:id="33"/>
      </w:r>
      <w:r w:rsidR="00806DC9">
        <w:t xml:space="preserve">, </w:t>
      </w:r>
      <w:r w:rsidR="00EA1301">
        <w:t>kiinniotettujen katoamisia</w:t>
      </w:r>
      <w:r w:rsidR="00013505">
        <w:rPr>
          <w:rStyle w:val="Alaviitteenviite"/>
        </w:rPr>
        <w:footnoteReference w:id="34"/>
      </w:r>
      <w:r w:rsidR="002B7412">
        <w:t xml:space="preserve"> ja kiinniottojen yhteydessä tapahtunutta</w:t>
      </w:r>
      <w:r w:rsidR="00EA1301">
        <w:t xml:space="preserve"> väkivaltaa</w:t>
      </w:r>
      <w:r w:rsidR="00013505">
        <w:rPr>
          <w:rStyle w:val="Alaviitteenviite"/>
        </w:rPr>
        <w:footnoteReference w:id="35"/>
      </w:r>
      <w:r w:rsidR="002B7412">
        <w:t>.</w:t>
      </w:r>
      <w:r w:rsidR="006644F6">
        <w:t xml:space="preserve"> </w:t>
      </w:r>
      <w:r w:rsidR="00D516F2">
        <w:t xml:space="preserve">Myös EUAA on käsitellyt </w:t>
      </w:r>
      <w:proofErr w:type="spellStart"/>
      <w:r w:rsidR="00D516F2">
        <w:t>CICPC:n</w:t>
      </w:r>
      <w:proofErr w:type="spellEnd"/>
      <w:r w:rsidR="00D516F2">
        <w:t xml:space="preserve"> </w:t>
      </w:r>
      <w:r w:rsidR="00D516F2">
        <w:lastRenderedPageBreak/>
        <w:t>toimintaan liittyviä oikeudenloukkauksia</w:t>
      </w:r>
      <w:r w:rsidR="006C6CA3">
        <w:t xml:space="preserve"> vuonna 2023 julkaisemassaan raportissa</w:t>
      </w:r>
      <w:r w:rsidR="00D516F2">
        <w:t>.</w:t>
      </w:r>
      <w:r w:rsidR="00D516F2">
        <w:rPr>
          <w:rStyle w:val="Alaviitteenviite"/>
        </w:rPr>
        <w:footnoteReference w:id="36"/>
      </w:r>
      <w:r w:rsidR="00D516F2">
        <w:t xml:space="preserve"> </w:t>
      </w:r>
      <w:r w:rsidR="003726B0">
        <w:rPr>
          <w:color w:val="000000" w:themeColor="text1"/>
        </w:rPr>
        <w:t xml:space="preserve">UN </w:t>
      </w:r>
      <w:proofErr w:type="spellStart"/>
      <w:r w:rsidR="003726B0">
        <w:rPr>
          <w:color w:val="000000" w:themeColor="text1"/>
        </w:rPr>
        <w:t>HRC</w:t>
      </w:r>
      <w:r w:rsidR="00355481">
        <w:rPr>
          <w:color w:val="000000" w:themeColor="text1"/>
        </w:rPr>
        <w:t>:n</w:t>
      </w:r>
      <w:proofErr w:type="spellEnd"/>
      <w:r w:rsidR="00355481" w:rsidRPr="00BB0933">
        <w:rPr>
          <w:color w:val="000000" w:themeColor="text1"/>
        </w:rPr>
        <w:t xml:space="preserve"> tietojen mukaan CICPC on ollut merkittävänä osapuolena viranomaisten siviileihin kohdistamissa oikeudenloukkauksissa </w:t>
      </w:r>
      <w:r w:rsidR="00A61A15">
        <w:t>vuodesta 2014 lähtien, jolloin oikeusasiamiehen toimisto alkoi kerätä tietoja siviiliväestöön kohdistuneista oikeudenloukkauksista</w:t>
      </w:r>
      <w:r w:rsidR="00355481" w:rsidRPr="00BB0933">
        <w:rPr>
          <w:color w:val="000000" w:themeColor="text1"/>
        </w:rPr>
        <w:t>.</w:t>
      </w:r>
      <w:r w:rsidR="00355481" w:rsidRPr="00BB0933">
        <w:rPr>
          <w:rStyle w:val="Alaviitteenviite"/>
          <w:color w:val="000000" w:themeColor="text1"/>
        </w:rPr>
        <w:footnoteReference w:id="37"/>
      </w:r>
      <w:r w:rsidR="00355481">
        <w:rPr>
          <w:color w:val="000000" w:themeColor="text1"/>
        </w:rPr>
        <w:t xml:space="preserve"> WOLA (</w:t>
      </w:r>
      <w:r w:rsidR="00355481" w:rsidRPr="00F2484B">
        <w:rPr>
          <w:i/>
          <w:color w:val="000000" w:themeColor="text1"/>
        </w:rPr>
        <w:t xml:space="preserve">Washington Office on </w:t>
      </w:r>
      <w:proofErr w:type="spellStart"/>
      <w:r w:rsidR="00355481" w:rsidRPr="00F2484B">
        <w:rPr>
          <w:i/>
          <w:color w:val="000000" w:themeColor="text1"/>
        </w:rPr>
        <w:t>Latin</w:t>
      </w:r>
      <w:proofErr w:type="spellEnd"/>
      <w:r w:rsidR="00355481" w:rsidRPr="00F2484B">
        <w:rPr>
          <w:i/>
          <w:color w:val="000000" w:themeColor="text1"/>
        </w:rPr>
        <w:t xml:space="preserve"> America</w:t>
      </w:r>
      <w:r w:rsidR="00355481">
        <w:rPr>
          <w:color w:val="000000" w:themeColor="text1"/>
        </w:rPr>
        <w:t xml:space="preserve">) -tutkimusjärjestön verkkosivuilla vuonna 2014 julkaistussa blogikirjoituksessa on kuitenkin todettu, että </w:t>
      </w:r>
      <w:proofErr w:type="spellStart"/>
      <w:r w:rsidR="00355481">
        <w:rPr>
          <w:color w:val="000000" w:themeColor="text1"/>
        </w:rPr>
        <w:t>CICPC:n</w:t>
      </w:r>
      <w:proofErr w:type="spellEnd"/>
      <w:r w:rsidR="00355481">
        <w:rPr>
          <w:color w:val="000000" w:themeColor="text1"/>
        </w:rPr>
        <w:t xml:space="preserve"> laittomat teloitukset olivat lähteneet nousuun jo vuonna 2009 aloitettujen poliisivoimien uudistusten jälkeen ja saavuttaneet siihen asti korkeimman tasonsa vuosina 2012–2013.</w:t>
      </w:r>
      <w:r w:rsidR="00355481">
        <w:rPr>
          <w:rStyle w:val="Alaviitteenviite"/>
          <w:color w:val="000000" w:themeColor="text1"/>
        </w:rPr>
        <w:footnoteReference w:id="38"/>
      </w:r>
      <w:r w:rsidR="00355481">
        <w:rPr>
          <w:color w:val="000000" w:themeColor="text1"/>
        </w:rPr>
        <w:t xml:space="preserve"> </w:t>
      </w:r>
      <w:proofErr w:type="spellStart"/>
      <w:r w:rsidR="00355481">
        <w:rPr>
          <w:color w:val="000000" w:themeColor="text1"/>
        </w:rPr>
        <w:t>Acceso</w:t>
      </w:r>
      <w:proofErr w:type="spellEnd"/>
      <w:r w:rsidR="00355481">
        <w:rPr>
          <w:color w:val="000000" w:themeColor="text1"/>
        </w:rPr>
        <w:t xml:space="preserve"> a la </w:t>
      </w:r>
      <w:proofErr w:type="spellStart"/>
      <w:r w:rsidR="00355481">
        <w:rPr>
          <w:color w:val="000000" w:themeColor="text1"/>
        </w:rPr>
        <w:t>Justicia</w:t>
      </w:r>
      <w:proofErr w:type="spellEnd"/>
      <w:r w:rsidR="00355481">
        <w:rPr>
          <w:color w:val="000000" w:themeColor="text1"/>
        </w:rPr>
        <w:t xml:space="preserve"> -järjestön tietojen perusteella turvallisuusviranomaisten väkivalta on tämän jälkeen jatkanut kärjistymistään: vuosina 2010–2019 tapahtuneista turvallisuusviranomaisiin yhdistetyistä kuolemista 60 % sijoittui vuosiin 2016–2019. Tapauksista 86 % oli laittomia teloituksia.</w:t>
      </w:r>
      <w:r w:rsidR="00355481">
        <w:rPr>
          <w:rStyle w:val="Alaviitteenviite"/>
          <w:color w:val="000000" w:themeColor="text1"/>
        </w:rPr>
        <w:footnoteReference w:id="39"/>
      </w:r>
      <w:r w:rsidR="00355481">
        <w:rPr>
          <w:color w:val="000000" w:themeColor="text1"/>
        </w:rPr>
        <w:t xml:space="preserve">  </w:t>
      </w:r>
    </w:p>
    <w:p w14:paraId="65F2F863" w14:textId="45A57A88" w:rsidR="0095545B" w:rsidRDefault="0095545B" w:rsidP="00A95D8B">
      <w:r>
        <w:t>Vuoden 2021 tiedonhankinta</w:t>
      </w:r>
      <w:r w:rsidR="00806DC9">
        <w:t>operaation aikana</w:t>
      </w:r>
      <w:r>
        <w:t xml:space="preserve"> </w:t>
      </w:r>
      <w:r w:rsidR="003726B0">
        <w:t>UN HRC</w:t>
      </w:r>
      <w:r>
        <w:t xml:space="preserve"> sai </w:t>
      </w:r>
      <w:r w:rsidR="00BE2BE4">
        <w:t xml:space="preserve">myös </w:t>
      </w:r>
      <w:r>
        <w:t>tietoa</w:t>
      </w:r>
      <w:r w:rsidRPr="0095545B">
        <w:t xml:space="preserve"> </w:t>
      </w:r>
      <w:proofErr w:type="spellStart"/>
      <w:r w:rsidR="00BE2BE4">
        <w:t>CICPC:n</w:t>
      </w:r>
      <w:proofErr w:type="spellEnd"/>
      <w:r w:rsidR="00BE2BE4">
        <w:t xml:space="preserve"> tutkintaraportteihin liittyvistä epä</w:t>
      </w:r>
      <w:r w:rsidR="00A61A15">
        <w:t>johdonmukaisuuksista.</w:t>
      </w:r>
      <w:r>
        <w:t xml:space="preserve"> Käytännössä raportteja laa</w:t>
      </w:r>
      <w:r w:rsidR="00A61A15">
        <w:t>dittae</w:t>
      </w:r>
      <w:r>
        <w:t xml:space="preserve">ssa </w:t>
      </w:r>
      <w:r w:rsidR="00355481">
        <w:t>on pyritty</w:t>
      </w:r>
      <w:r>
        <w:t xml:space="preserve"> suojelemaan</w:t>
      </w:r>
      <w:r w:rsidRPr="0095545B">
        <w:t xml:space="preserve"> joitakin </w:t>
      </w:r>
      <w:proofErr w:type="spellStart"/>
      <w:r>
        <w:t>CICPC:n</w:t>
      </w:r>
      <w:proofErr w:type="spellEnd"/>
      <w:r>
        <w:t xml:space="preserve"> </w:t>
      </w:r>
      <w:r w:rsidRPr="0095545B">
        <w:t>jäseniä v</w:t>
      </w:r>
      <w:r w:rsidR="00A61A15">
        <w:t>irkavastuulta</w:t>
      </w:r>
      <w:r w:rsidRPr="0095545B">
        <w:t xml:space="preserve">. Eräs </w:t>
      </w:r>
      <w:proofErr w:type="spellStart"/>
      <w:r w:rsidRPr="0095545B">
        <w:t>CICPC:n</w:t>
      </w:r>
      <w:proofErr w:type="spellEnd"/>
      <w:r w:rsidRPr="0095545B">
        <w:t xml:space="preserve"> entinen etsivä </w:t>
      </w:r>
      <w:r>
        <w:t xml:space="preserve">kertoi </w:t>
      </w:r>
      <w:r w:rsidR="003726B0">
        <w:t xml:space="preserve">UN </w:t>
      </w:r>
      <w:proofErr w:type="spellStart"/>
      <w:r w:rsidR="003726B0">
        <w:t>HRC</w:t>
      </w:r>
      <w:r w:rsidR="00355481">
        <w:t>:lle</w:t>
      </w:r>
      <w:proofErr w:type="spellEnd"/>
      <w:r>
        <w:t xml:space="preserve">, </w:t>
      </w:r>
      <w:r w:rsidRPr="0095545B">
        <w:t xml:space="preserve">että on olemassa tiettyjä nimiä, </w:t>
      </w:r>
      <w:r>
        <w:t>joita ei koskaan kirjata</w:t>
      </w:r>
      <w:r w:rsidRPr="0095545B">
        <w:t xml:space="preserve"> rikostutkintapöytäkirj</w:t>
      </w:r>
      <w:r>
        <w:t>oihin</w:t>
      </w:r>
      <w:r w:rsidRPr="0095545B">
        <w:t xml:space="preserve">. </w:t>
      </w:r>
      <w:r>
        <w:t>Kyseessä on kaikkien poliisien tuntema ”hiljainen sääntö”.</w:t>
      </w:r>
      <w:r w:rsidRPr="0095545B">
        <w:t xml:space="preserve"> </w:t>
      </w:r>
      <w:r>
        <w:t>Entisen etsivän mukaan</w:t>
      </w:r>
      <w:r w:rsidRPr="0095545B">
        <w:t xml:space="preserve"> e</w:t>
      </w:r>
      <w:r w:rsidR="00A61A15">
        <w:t xml:space="preserve">tenkään </w:t>
      </w:r>
      <w:r w:rsidRPr="0095545B">
        <w:t>päälliköt eivät anna nim</w:t>
      </w:r>
      <w:r>
        <w:t>i</w:t>
      </w:r>
      <w:r w:rsidRPr="0095545B">
        <w:t xml:space="preserve">ensä näkyä tutkintaraporteissa. </w:t>
      </w:r>
      <w:r>
        <w:t>Etsivän</w:t>
      </w:r>
      <w:r w:rsidRPr="0095545B">
        <w:t xml:space="preserve"> </w:t>
      </w:r>
      <w:r>
        <w:t>kertomusten mukaan</w:t>
      </w:r>
      <w:r w:rsidRPr="0095545B">
        <w:t xml:space="preserve"> jokaisessa poliisitoimistossa on </w:t>
      </w:r>
      <w:r>
        <w:t>”</w:t>
      </w:r>
      <w:r w:rsidRPr="0095545B">
        <w:t>numero yksi</w:t>
      </w:r>
      <w:r>
        <w:t>”</w:t>
      </w:r>
      <w:r w:rsidRPr="0095545B">
        <w:t xml:space="preserve"> </w:t>
      </w:r>
      <w:r w:rsidRPr="00DC4729">
        <w:rPr>
          <w:color w:val="000000" w:themeColor="text1"/>
        </w:rPr>
        <w:t>(toimistopäällikkö</w:t>
      </w:r>
      <w:r w:rsidR="007336BA">
        <w:rPr>
          <w:color w:val="000000" w:themeColor="text1"/>
        </w:rPr>
        <w:t>, engl</w:t>
      </w:r>
      <w:r w:rsidR="007336BA" w:rsidRPr="007336BA">
        <w:rPr>
          <w:i/>
          <w:color w:val="000000" w:themeColor="text1"/>
        </w:rPr>
        <w:t xml:space="preserve">. </w:t>
      </w:r>
      <w:proofErr w:type="spellStart"/>
      <w:r w:rsidR="007336BA" w:rsidRPr="007336BA">
        <w:rPr>
          <w:i/>
          <w:color w:val="000000" w:themeColor="text1"/>
        </w:rPr>
        <w:t>the</w:t>
      </w:r>
      <w:proofErr w:type="spellEnd"/>
      <w:r w:rsidR="007336BA" w:rsidRPr="007336BA">
        <w:rPr>
          <w:i/>
          <w:color w:val="000000" w:themeColor="text1"/>
        </w:rPr>
        <w:t xml:space="preserve"> bureau </w:t>
      </w:r>
      <w:proofErr w:type="spellStart"/>
      <w:r w:rsidR="007336BA" w:rsidRPr="007336BA">
        <w:rPr>
          <w:i/>
          <w:color w:val="000000" w:themeColor="text1"/>
        </w:rPr>
        <w:t>chief</w:t>
      </w:r>
      <w:proofErr w:type="spellEnd"/>
      <w:r w:rsidRPr="00DC4729">
        <w:rPr>
          <w:color w:val="000000" w:themeColor="text1"/>
        </w:rPr>
        <w:t>), ”</w:t>
      </w:r>
      <w:r w:rsidRPr="0095545B">
        <w:t>numero kaksi</w:t>
      </w:r>
      <w:r>
        <w:t>”</w:t>
      </w:r>
      <w:r w:rsidRPr="0095545B">
        <w:t xml:space="preserve"> (esimies</w:t>
      </w:r>
      <w:r w:rsidR="007336BA">
        <w:t xml:space="preserve">, engl. </w:t>
      </w:r>
      <w:proofErr w:type="spellStart"/>
      <w:r w:rsidR="007336BA" w:rsidRPr="007336BA">
        <w:rPr>
          <w:i/>
        </w:rPr>
        <w:t>supervisor</w:t>
      </w:r>
      <w:proofErr w:type="spellEnd"/>
      <w:r w:rsidRPr="0095545B">
        <w:t xml:space="preserve">) ja </w:t>
      </w:r>
      <w:r>
        <w:t>”</w:t>
      </w:r>
      <w:r w:rsidRPr="0095545B">
        <w:t>numero kolme</w:t>
      </w:r>
      <w:r>
        <w:t>”</w:t>
      </w:r>
      <w:r w:rsidRPr="0095545B">
        <w:t xml:space="preserve"> (tutkin</w:t>
      </w:r>
      <w:r w:rsidR="007336BA">
        <w:t xml:space="preserve">nanjohtaja, engl. </w:t>
      </w:r>
      <w:proofErr w:type="spellStart"/>
      <w:r w:rsidR="007336BA" w:rsidRPr="007336BA">
        <w:rPr>
          <w:i/>
        </w:rPr>
        <w:t>the</w:t>
      </w:r>
      <w:proofErr w:type="spellEnd"/>
      <w:r w:rsidR="007336BA" w:rsidRPr="007336BA">
        <w:rPr>
          <w:i/>
        </w:rPr>
        <w:t xml:space="preserve"> </w:t>
      </w:r>
      <w:proofErr w:type="spellStart"/>
      <w:r w:rsidR="007336BA" w:rsidRPr="007336BA">
        <w:rPr>
          <w:i/>
        </w:rPr>
        <w:t>chief</w:t>
      </w:r>
      <w:proofErr w:type="spellEnd"/>
      <w:r w:rsidR="007336BA" w:rsidRPr="007336BA">
        <w:rPr>
          <w:i/>
        </w:rPr>
        <w:t xml:space="preserve"> of </w:t>
      </w:r>
      <w:proofErr w:type="spellStart"/>
      <w:r w:rsidR="007336BA" w:rsidRPr="007336BA">
        <w:rPr>
          <w:i/>
        </w:rPr>
        <w:t>investigations</w:t>
      </w:r>
      <w:proofErr w:type="spellEnd"/>
      <w:r w:rsidRPr="0095545B">
        <w:t>). Kaikkien poliisien, jotka kuuluvat tutkin</w:t>
      </w:r>
      <w:r w:rsidR="007336BA">
        <w:t>nanjohtajan</w:t>
      </w:r>
      <w:r w:rsidRPr="0095545B">
        <w:t xml:space="preserve"> alaisuuteen, on </w:t>
      </w:r>
      <w:r w:rsidR="001F724B">
        <w:t>hyväksytettävä</w:t>
      </w:r>
      <w:r w:rsidRPr="0095545B">
        <w:t xml:space="preserve"> tutkinta</w:t>
      </w:r>
      <w:r w:rsidR="00F42188">
        <w:t xml:space="preserve">raportit </w:t>
      </w:r>
      <w:r w:rsidRPr="0095545B">
        <w:t>hänen kauttaan. Tutkinnanjohtajan ”on tiedettävä kaikki”, ja hän poistaa tarvittaessa nimiä suojellakseen itseään ja esimiehiään.</w:t>
      </w:r>
      <w:r>
        <w:rPr>
          <w:rStyle w:val="Alaviitteenviite"/>
        </w:rPr>
        <w:footnoteReference w:id="40"/>
      </w:r>
    </w:p>
    <w:p w14:paraId="1A7EC02C" w14:textId="0FC24DF7" w:rsidR="007F5536" w:rsidRDefault="009855BD" w:rsidP="007F5536">
      <w:pPr>
        <w:pStyle w:val="Kommentinteksti"/>
        <w:spacing w:after="0"/>
      </w:pPr>
      <w:r>
        <w:rPr>
          <w:color w:val="000000" w:themeColor="text1"/>
        </w:rPr>
        <w:t xml:space="preserve">Toisaalta </w:t>
      </w:r>
      <w:r w:rsidR="003726B0">
        <w:rPr>
          <w:color w:val="000000" w:themeColor="text1"/>
        </w:rPr>
        <w:t>UN HRC</w:t>
      </w:r>
      <w:r w:rsidR="000112CA">
        <w:rPr>
          <w:color w:val="000000" w:themeColor="text1"/>
        </w:rPr>
        <w:t xml:space="preserve"> </w:t>
      </w:r>
      <w:r>
        <w:rPr>
          <w:color w:val="000000" w:themeColor="text1"/>
        </w:rPr>
        <w:t>on</w:t>
      </w:r>
      <w:r w:rsidR="000112CA">
        <w:rPr>
          <w:color w:val="000000" w:themeColor="text1"/>
        </w:rPr>
        <w:t xml:space="preserve"> myös</w:t>
      </w:r>
      <w:r>
        <w:rPr>
          <w:color w:val="000000" w:themeColor="text1"/>
        </w:rPr>
        <w:t xml:space="preserve"> todennut, että </w:t>
      </w:r>
      <w:proofErr w:type="spellStart"/>
      <w:r w:rsidRPr="00695BE5">
        <w:rPr>
          <w:color w:val="000000" w:themeColor="text1"/>
        </w:rPr>
        <w:t>tarkastelujaksolla</w:t>
      </w:r>
      <w:proofErr w:type="spellEnd"/>
      <w:r w:rsidR="00695BE5" w:rsidRPr="00695BE5">
        <w:rPr>
          <w:color w:val="000000" w:themeColor="text1"/>
        </w:rPr>
        <w:t xml:space="preserve"> 2014–2020</w:t>
      </w:r>
      <w:r w:rsidRPr="00695BE5">
        <w:rPr>
          <w:color w:val="000000" w:themeColor="text1"/>
        </w:rPr>
        <w:t xml:space="preserve"> </w:t>
      </w:r>
      <w:proofErr w:type="spellStart"/>
      <w:r w:rsidRPr="00695BE5">
        <w:rPr>
          <w:color w:val="000000" w:themeColor="text1"/>
        </w:rPr>
        <w:t>CICPC</w:t>
      </w:r>
      <w:r>
        <w:t>:n</w:t>
      </w:r>
      <w:proofErr w:type="spellEnd"/>
      <w:r>
        <w:t xml:space="preserve"> ja muiden poliisivoimien havaittiin </w:t>
      </w:r>
      <w:r w:rsidRPr="009306E1">
        <w:t>muodost</w:t>
      </w:r>
      <w:r w:rsidR="007429A9">
        <w:t>a</w:t>
      </w:r>
      <w:r>
        <w:t xml:space="preserve">van suhteellisen </w:t>
      </w:r>
      <w:r w:rsidRPr="009306E1">
        <w:t xml:space="preserve">toimivia ja organisoituja yksiköitä, jotka toimivat yleisesti ottaen vakiintuneiden komentoketjujen </w:t>
      </w:r>
      <w:r>
        <w:t>sekä</w:t>
      </w:r>
      <w:r w:rsidRPr="009306E1">
        <w:t xml:space="preserve"> vakiintuneiden viestintä- ja raportointimenettelyjen mukaisesti. </w:t>
      </w:r>
      <w:r w:rsidR="003726B0">
        <w:t xml:space="preserve">UN </w:t>
      </w:r>
      <w:proofErr w:type="spellStart"/>
      <w:r w:rsidR="003726B0">
        <w:t>HRC</w:t>
      </w:r>
      <w:r w:rsidR="000112CA">
        <w:t>:n</w:t>
      </w:r>
      <w:proofErr w:type="spellEnd"/>
      <w:r>
        <w:t xml:space="preserve"> keräämät</w:t>
      </w:r>
      <w:r w:rsidRPr="009306E1">
        <w:t xml:space="preserve"> tiedot </w:t>
      </w:r>
      <w:r>
        <w:t>viittasivat siihen</w:t>
      </w:r>
      <w:r w:rsidRPr="009306E1">
        <w:t>, että yksiköiden johto valvoi tehokkaasti alaisiaan kurinpitojärjestelmän mukaisesti.</w:t>
      </w:r>
      <w:r>
        <w:rPr>
          <w:rStyle w:val="Alaviitteenviite"/>
        </w:rPr>
        <w:footnoteReference w:id="41"/>
      </w:r>
      <w:r>
        <w:t xml:space="preserve"> Reuters on todennut</w:t>
      </w:r>
      <w:r w:rsidR="00B34255">
        <w:t xml:space="preserve"> vuonna 2019 julkaisemassaan artikkelissa</w:t>
      </w:r>
      <w:r>
        <w:t xml:space="preserve">, että </w:t>
      </w:r>
      <w:r w:rsidR="00CF1D0E">
        <w:t xml:space="preserve">vaikka </w:t>
      </w:r>
      <w:r>
        <w:t xml:space="preserve">CICPC </w:t>
      </w:r>
      <w:r w:rsidR="00A61A15">
        <w:t>oli</w:t>
      </w:r>
      <w:r w:rsidR="00CF1D0E">
        <w:t xml:space="preserve"> jo tuolloin</w:t>
      </w:r>
      <w:r w:rsidR="00A61A15">
        <w:t xml:space="preserve"> saanut osakseen</w:t>
      </w:r>
      <w:r w:rsidR="00CF1D0E">
        <w:t xml:space="preserve"> kritiikkiä ihmisoikeusjärjestöiltä, </w:t>
      </w:r>
      <w:r w:rsidR="0092412E">
        <w:t>sen aktiivisuus ei kuitenkaan yltänyt samalla tasolle</w:t>
      </w:r>
      <w:r w:rsidR="00B62AB8">
        <w:t xml:space="preserve"> silloi</w:t>
      </w:r>
      <w:r w:rsidR="0092412E">
        <w:t>s</w:t>
      </w:r>
      <w:r w:rsidR="00B62AB8">
        <w:t xml:space="preserve">en </w:t>
      </w:r>
      <w:proofErr w:type="spellStart"/>
      <w:r>
        <w:t>FAES</w:t>
      </w:r>
      <w:r w:rsidR="0092412E">
        <w:t>:in</w:t>
      </w:r>
      <w:proofErr w:type="spellEnd"/>
      <w:r w:rsidR="00B34255">
        <w:t xml:space="preserve"> (nyk. DAET)</w:t>
      </w:r>
      <w:r w:rsidR="0092412E">
        <w:t xml:space="preserve"> kanssa</w:t>
      </w:r>
      <w:r w:rsidR="00B62AB8">
        <w:t xml:space="preserve">. </w:t>
      </w:r>
      <w:r w:rsidR="0043240F">
        <w:t xml:space="preserve">Artikkelin mukaan </w:t>
      </w:r>
      <w:proofErr w:type="spellStart"/>
      <w:r>
        <w:t>CICPC:n</w:t>
      </w:r>
      <w:proofErr w:type="spellEnd"/>
      <w:r>
        <w:t xml:space="preserve"> veteraanien </w:t>
      </w:r>
      <w:r w:rsidR="00B62AB8">
        <w:t>joukossa on ollut</w:t>
      </w:r>
      <w:r>
        <w:t xml:space="preserve"> myös </w:t>
      </w:r>
      <w:proofErr w:type="spellStart"/>
      <w:r>
        <w:t>Maduron</w:t>
      </w:r>
      <w:proofErr w:type="spellEnd"/>
      <w:r>
        <w:t xml:space="preserve"> hallinnon vastustajia</w:t>
      </w:r>
      <w:r w:rsidR="00B62AB8">
        <w:t>, joten</w:t>
      </w:r>
      <w:r>
        <w:t xml:space="preserve"> </w:t>
      </w:r>
      <w:proofErr w:type="spellStart"/>
      <w:r>
        <w:t>CICPC:tä</w:t>
      </w:r>
      <w:proofErr w:type="spellEnd"/>
      <w:r>
        <w:t xml:space="preserve"> ei</w:t>
      </w:r>
      <w:r w:rsidR="00B62AB8">
        <w:t xml:space="preserve"> voitu pitää </w:t>
      </w:r>
      <w:r>
        <w:t>täysin lojaalina Venezuelan hallinnolle.</w:t>
      </w:r>
      <w:r>
        <w:rPr>
          <w:rStyle w:val="Alaviitteenviite"/>
        </w:rPr>
        <w:footnoteReference w:id="42"/>
      </w:r>
      <w:r>
        <w:t xml:space="preserve"> Vuonna 2024 Venezuelan turvallisuusviranomaiset ovat kuitenkin </w:t>
      </w:r>
      <w:r w:rsidR="00A61A15">
        <w:t xml:space="preserve">lisänneet </w:t>
      </w:r>
      <w:r w:rsidR="00B62AB8">
        <w:t>entisestään</w:t>
      </w:r>
      <w:r>
        <w:t xml:space="preserve"> siviileihin ja erityisesti hallinnon vastustajina pidettyihin henkilöihin kohdistettua väkivaltaa.</w:t>
      </w:r>
      <w:r>
        <w:rPr>
          <w:rStyle w:val="Alaviitteenviite"/>
        </w:rPr>
        <w:footnoteReference w:id="43"/>
      </w:r>
      <w:r w:rsidR="00C63773">
        <w:t xml:space="preserve"> </w:t>
      </w:r>
    </w:p>
    <w:p w14:paraId="3BD87394" w14:textId="77777777" w:rsidR="00E12A8C" w:rsidRPr="00DD0F85" w:rsidRDefault="00E12A8C" w:rsidP="00E12A8C">
      <w:pPr>
        <w:pStyle w:val="POTSIKKO"/>
        <w:rPr>
          <w:lang w:val="en-US"/>
        </w:rPr>
      </w:pPr>
      <w:proofErr w:type="spellStart"/>
      <w:r w:rsidRPr="00DD0F85">
        <w:rPr>
          <w:lang w:val="en-US"/>
        </w:rPr>
        <w:lastRenderedPageBreak/>
        <w:t>Lähteet</w:t>
      </w:r>
      <w:proofErr w:type="spellEnd"/>
    </w:p>
    <w:p w14:paraId="79D6BEB7" w14:textId="4035CF2A" w:rsidR="00E12A8C" w:rsidRPr="00904690" w:rsidRDefault="00E12A8C" w:rsidP="00E12A8C">
      <w:pPr>
        <w:jc w:val="left"/>
        <w:rPr>
          <w:lang w:val="en-US"/>
        </w:rPr>
      </w:pPr>
      <w:r w:rsidRPr="00904690">
        <w:rPr>
          <w:lang w:val="en-US"/>
        </w:rPr>
        <w:t xml:space="preserve">Accesso a la Justicia </w:t>
      </w:r>
    </w:p>
    <w:p w14:paraId="3E5F7D66" w14:textId="3DB07FA7" w:rsidR="00E12A8C" w:rsidRPr="00681B11" w:rsidRDefault="00E12A8C" w:rsidP="00E12A8C">
      <w:pPr>
        <w:ind w:left="720"/>
        <w:jc w:val="left"/>
        <w:rPr>
          <w:lang w:val="en-US"/>
        </w:rPr>
      </w:pPr>
      <w:r w:rsidRPr="00681B11">
        <w:rPr>
          <w:lang w:val="en-US"/>
        </w:rPr>
        <w:t>5/2022.</w:t>
      </w:r>
      <w:r w:rsidR="005B575C" w:rsidRPr="00681B11">
        <w:rPr>
          <w:lang w:val="en-US"/>
        </w:rPr>
        <w:t xml:space="preserve"> </w:t>
      </w:r>
      <w:r w:rsidR="005B575C" w:rsidRPr="00681B11">
        <w:rPr>
          <w:i/>
          <w:lang w:val="en-US"/>
        </w:rPr>
        <w:t xml:space="preserve">La </w:t>
      </w:r>
      <w:proofErr w:type="spellStart"/>
      <w:r w:rsidR="005B575C" w:rsidRPr="00681B11">
        <w:rPr>
          <w:i/>
          <w:lang w:val="en-US"/>
        </w:rPr>
        <w:t>Administración</w:t>
      </w:r>
      <w:proofErr w:type="spellEnd"/>
      <w:r w:rsidR="005B575C" w:rsidRPr="00681B11">
        <w:rPr>
          <w:i/>
          <w:lang w:val="en-US"/>
        </w:rPr>
        <w:t xml:space="preserve"> de Justicia Penal </w:t>
      </w:r>
      <w:proofErr w:type="spellStart"/>
      <w:r w:rsidR="005B575C" w:rsidRPr="00681B11">
        <w:rPr>
          <w:i/>
          <w:lang w:val="en-US"/>
        </w:rPr>
        <w:t>en</w:t>
      </w:r>
      <w:proofErr w:type="spellEnd"/>
      <w:r w:rsidR="005B575C" w:rsidRPr="00681B11">
        <w:rPr>
          <w:i/>
          <w:lang w:val="en-US"/>
        </w:rPr>
        <w:t xml:space="preserve"> Venezuela. </w:t>
      </w:r>
      <w:hyperlink r:id="rId8" w:history="1">
        <w:r w:rsidRPr="00681B11">
          <w:rPr>
            <w:rStyle w:val="Hyperlinkki"/>
            <w:lang w:val="en-US"/>
          </w:rPr>
          <w:t>https://accesoalajusticia.org/wp-content/uploads/securepdfs/2022/05/La-administracion-de-justicia-penal-en-Venezuela.pdf</w:t>
        </w:r>
      </w:hyperlink>
      <w:r w:rsidRPr="00681B11">
        <w:rPr>
          <w:lang w:val="en-US"/>
        </w:rPr>
        <w:t xml:space="preserve"> (</w:t>
      </w:r>
      <w:proofErr w:type="spellStart"/>
      <w:r w:rsidRPr="00681B11">
        <w:rPr>
          <w:lang w:val="en-US"/>
        </w:rPr>
        <w:t>käyty</w:t>
      </w:r>
      <w:proofErr w:type="spellEnd"/>
      <w:r w:rsidRPr="00681B11">
        <w:rPr>
          <w:lang w:val="en-US"/>
        </w:rPr>
        <w:t xml:space="preserve"> 14.11.2024).</w:t>
      </w:r>
    </w:p>
    <w:p w14:paraId="1F0A174F" w14:textId="0B8454F7" w:rsidR="00FA3D45" w:rsidRPr="00D2093B" w:rsidRDefault="00FA3D45" w:rsidP="00E12A8C">
      <w:pPr>
        <w:ind w:left="720"/>
        <w:jc w:val="left"/>
      </w:pPr>
      <w:r w:rsidRPr="00681B11">
        <w:rPr>
          <w:lang w:val="sv-SE"/>
        </w:rPr>
        <w:t>7/2019.</w:t>
      </w:r>
      <w:r w:rsidR="005B575C" w:rsidRPr="00681B11">
        <w:rPr>
          <w:lang w:val="sv-SE"/>
        </w:rPr>
        <w:t xml:space="preserve"> </w:t>
      </w:r>
      <w:proofErr w:type="spellStart"/>
      <w:r w:rsidR="005B575C" w:rsidRPr="005B575C">
        <w:rPr>
          <w:i/>
          <w:lang w:val="sv-SE"/>
        </w:rPr>
        <w:t>Visión</w:t>
      </w:r>
      <w:proofErr w:type="spellEnd"/>
      <w:r w:rsidR="005B575C" w:rsidRPr="005B575C">
        <w:rPr>
          <w:i/>
          <w:lang w:val="sv-SE"/>
        </w:rPr>
        <w:t xml:space="preserve"> </w:t>
      </w:r>
      <w:proofErr w:type="spellStart"/>
      <w:r w:rsidR="005B575C" w:rsidRPr="005B575C">
        <w:rPr>
          <w:i/>
          <w:lang w:val="sv-SE"/>
        </w:rPr>
        <w:t>panorámica</w:t>
      </w:r>
      <w:proofErr w:type="spellEnd"/>
      <w:r w:rsidR="005B575C" w:rsidRPr="005B575C">
        <w:rPr>
          <w:i/>
          <w:lang w:val="sv-SE"/>
        </w:rPr>
        <w:t xml:space="preserve"> del </w:t>
      </w:r>
      <w:proofErr w:type="spellStart"/>
      <w:r w:rsidR="005B575C" w:rsidRPr="005B575C">
        <w:rPr>
          <w:i/>
          <w:lang w:val="sv-SE"/>
        </w:rPr>
        <w:t>sistema</w:t>
      </w:r>
      <w:proofErr w:type="spellEnd"/>
      <w:r w:rsidR="005B575C" w:rsidRPr="005B575C">
        <w:rPr>
          <w:i/>
          <w:lang w:val="sv-SE"/>
        </w:rPr>
        <w:t xml:space="preserve"> </w:t>
      </w:r>
      <w:proofErr w:type="spellStart"/>
      <w:r w:rsidR="005B575C" w:rsidRPr="005B575C">
        <w:rPr>
          <w:i/>
          <w:lang w:val="sv-SE"/>
        </w:rPr>
        <w:t>policial</w:t>
      </w:r>
      <w:proofErr w:type="spellEnd"/>
      <w:r w:rsidR="005B575C" w:rsidRPr="005B575C">
        <w:rPr>
          <w:i/>
          <w:lang w:val="sv-SE"/>
        </w:rPr>
        <w:t xml:space="preserve"> en Venezuela 2000 – 2018.</w:t>
      </w:r>
      <w:r w:rsidRPr="005B575C">
        <w:rPr>
          <w:i/>
          <w:lang w:val="sv-SE"/>
        </w:rPr>
        <w:t xml:space="preserve"> </w:t>
      </w:r>
      <w:hyperlink r:id="rId9" w:history="1">
        <w:r w:rsidRPr="00D2093B">
          <w:rPr>
            <w:rStyle w:val="Hyperlinkki"/>
          </w:rPr>
          <w:t>https://accesoalajusticia.org/wp-content/uploads/2020/05/Informe-sobre-desempe%C3%B1o-sistema-policial-venezolano-2000-2018-1.pdf</w:t>
        </w:r>
      </w:hyperlink>
      <w:r w:rsidRPr="00D2093B">
        <w:t xml:space="preserve"> </w:t>
      </w:r>
      <w:r w:rsidR="00D2093B" w:rsidRPr="00FF6321">
        <w:t>(kä</w:t>
      </w:r>
      <w:r w:rsidR="00D2093B">
        <w:t>yty 15.11.2024).</w:t>
      </w:r>
    </w:p>
    <w:p w14:paraId="705A82E6" w14:textId="77777777" w:rsidR="00E12A8C" w:rsidRDefault="00E12A8C" w:rsidP="00E12A8C">
      <w:pPr>
        <w:ind w:left="720"/>
        <w:jc w:val="left"/>
      </w:pPr>
      <w:r w:rsidRPr="00904690">
        <w:rPr>
          <w:lang w:val="en-US"/>
        </w:rPr>
        <w:t>[</w:t>
      </w:r>
      <w:proofErr w:type="spellStart"/>
      <w:r w:rsidRPr="00904690">
        <w:rPr>
          <w:lang w:val="en-US"/>
        </w:rPr>
        <w:t>päiväämätön</w:t>
      </w:r>
      <w:proofErr w:type="spellEnd"/>
      <w:r w:rsidRPr="00904690">
        <w:rPr>
          <w:lang w:val="en-US"/>
        </w:rPr>
        <w:t>]</w:t>
      </w:r>
      <w:r>
        <w:rPr>
          <w:lang w:val="en-US"/>
        </w:rPr>
        <w:t>a</w:t>
      </w:r>
      <w:r w:rsidRPr="00904690">
        <w:rPr>
          <w:lang w:val="en-US"/>
        </w:rPr>
        <w:t xml:space="preserve">. </w:t>
      </w:r>
      <w:r w:rsidRPr="00B71E6B">
        <w:rPr>
          <w:i/>
          <w:lang w:val="en-US"/>
        </w:rPr>
        <w:t xml:space="preserve">Functions of the Police Service in Venezuela. </w:t>
      </w:r>
      <w:hyperlink r:id="rId10" w:history="1">
        <w:r w:rsidRPr="00B71E6B">
          <w:rPr>
            <w:rStyle w:val="Hyperlinkki"/>
          </w:rPr>
          <w:t>https://accesoalajusticia.org/wp-content/uploads/2021/10/Functions-of-the-Police-service-in-Venezuela.pdf</w:t>
        </w:r>
      </w:hyperlink>
      <w:r w:rsidRPr="00B71E6B">
        <w:t xml:space="preserve"> (kä</w:t>
      </w:r>
      <w:r>
        <w:t>yty 11.11.2024).</w:t>
      </w:r>
    </w:p>
    <w:p w14:paraId="5B5CB162" w14:textId="13C1EDDB" w:rsidR="00E12A8C" w:rsidRPr="00DD0F85" w:rsidRDefault="00E12A8C" w:rsidP="00E12A8C">
      <w:pPr>
        <w:ind w:left="720"/>
        <w:jc w:val="left"/>
      </w:pPr>
      <w:r w:rsidRPr="00904690">
        <w:rPr>
          <w:lang w:val="en-US"/>
        </w:rPr>
        <w:t>[</w:t>
      </w:r>
      <w:proofErr w:type="spellStart"/>
      <w:r w:rsidRPr="00904690">
        <w:rPr>
          <w:lang w:val="en-US"/>
        </w:rPr>
        <w:t>päiväämätön</w:t>
      </w:r>
      <w:proofErr w:type="spellEnd"/>
      <w:r w:rsidRPr="00904690">
        <w:rPr>
          <w:lang w:val="en-US"/>
        </w:rPr>
        <w:t xml:space="preserve">]b. </w:t>
      </w:r>
      <w:r w:rsidRPr="00904690">
        <w:rPr>
          <w:i/>
          <w:lang w:val="en-US"/>
        </w:rPr>
        <w:t xml:space="preserve">CICPC. The National Executive Branch’s Trojan Horse </w:t>
      </w:r>
      <w:r w:rsidR="005B575C">
        <w:rPr>
          <w:i/>
          <w:lang w:val="en-US"/>
        </w:rPr>
        <w:t>t</w:t>
      </w:r>
      <w:r w:rsidRPr="00904690">
        <w:rPr>
          <w:i/>
          <w:lang w:val="en-US"/>
        </w:rPr>
        <w:t xml:space="preserve">o Interfere </w:t>
      </w:r>
      <w:proofErr w:type="gramStart"/>
      <w:r w:rsidRPr="00904690">
        <w:rPr>
          <w:i/>
          <w:lang w:val="en-US"/>
        </w:rPr>
        <w:t>With</w:t>
      </w:r>
      <w:proofErr w:type="gramEnd"/>
      <w:r w:rsidRPr="00904690">
        <w:rPr>
          <w:i/>
          <w:lang w:val="en-US"/>
        </w:rPr>
        <w:t xml:space="preserve"> Justice.</w:t>
      </w:r>
      <w:r w:rsidRPr="00904690">
        <w:rPr>
          <w:lang w:val="en-US"/>
        </w:rPr>
        <w:t xml:space="preserve"> </w:t>
      </w:r>
      <w:hyperlink r:id="rId11" w:history="1">
        <w:r w:rsidRPr="00DD0F85">
          <w:rPr>
            <w:rStyle w:val="Hyperlinkki"/>
          </w:rPr>
          <w:t>https://accesoalajusticia.org/wp-content/uploads/2020/07/CICPC.-THE-NATIONAL-EXECUTIVE-BRANCH%E2%80%99S-TROJAN-HORSE-TO-INTERFERE-WITH-JUSTICE.pdf</w:t>
        </w:r>
      </w:hyperlink>
      <w:r w:rsidRPr="00DD0F85">
        <w:t xml:space="preserve"> (käyty 13.11.2024).</w:t>
      </w:r>
    </w:p>
    <w:p w14:paraId="0E0DD1F3" w14:textId="77777777" w:rsidR="00E12A8C" w:rsidRDefault="00E12A8C" w:rsidP="00E12A8C">
      <w:pPr>
        <w:ind w:left="720"/>
        <w:jc w:val="left"/>
      </w:pPr>
      <w:r w:rsidRPr="00904690">
        <w:rPr>
          <w:lang w:val="en-US"/>
        </w:rPr>
        <w:t>[</w:t>
      </w:r>
      <w:proofErr w:type="spellStart"/>
      <w:r w:rsidRPr="00904690">
        <w:rPr>
          <w:lang w:val="en-US"/>
        </w:rPr>
        <w:t>päiväämätön</w:t>
      </w:r>
      <w:proofErr w:type="spellEnd"/>
      <w:r w:rsidRPr="00904690">
        <w:rPr>
          <w:lang w:val="en-US"/>
        </w:rPr>
        <w:t xml:space="preserve">]c. </w:t>
      </w:r>
      <w:r w:rsidRPr="00904690">
        <w:rPr>
          <w:i/>
          <w:lang w:val="en-US"/>
        </w:rPr>
        <w:t xml:space="preserve">Police management in Venezuela: Lethality and human rights violations. </w:t>
      </w:r>
      <w:hyperlink r:id="rId12" w:history="1">
        <w:r w:rsidRPr="00904690">
          <w:rPr>
            <w:rStyle w:val="Hyperlinkki"/>
          </w:rPr>
          <w:t>https://accesoalajusticia.org/wp-content/uploads/2020/04/Police-management-in-Venezuela.pdf</w:t>
        </w:r>
      </w:hyperlink>
      <w:r w:rsidRPr="00904690">
        <w:rPr>
          <w:rStyle w:val="Hyperlinkki"/>
          <w:u w:val="none"/>
        </w:rPr>
        <w:t xml:space="preserve"> </w:t>
      </w:r>
      <w:r w:rsidRPr="00904690">
        <w:t>(käyty 13.11.2024).</w:t>
      </w:r>
    </w:p>
    <w:p w14:paraId="562A3D41" w14:textId="60DF04DD" w:rsidR="006B7B5C" w:rsidRDefault="006B7B5C" w:rsidP="006B7B5C">
      <w:pPr>
        <w:pStyle w:val="Alaviitteenteksti"/>
        <w:jc w:val="left"/>
        <w:rPr>
          <w:color w:val="000000" w:themeColor="text1"/>
          <w:lang w:val="en-US"/>
        </w:rPr>
      </w:pPr>
      <w:r w:rsidRPr="006B7B5C">
        <w:rPr>
          <w:color w:val="000000" w:themeColor="text1"/>
          <w:lang w:val="en-US"/>
        </w:rPr>
        <w:t xml:space="preserve">BBC (British Broadcasting Corporation) 16.1.2018. </w:t>
      </w:r>
      <w:r w:rsidRPr="006B7B5C">
        <w:rPr>
          <w:i/>
          <w:color w:val="000000" w:themeColor="text1"/>
          <w:lang w:val="en-US"/>
        </w:rPr>
        <w:t>Venezuela helicopter pilot Oscar Pérez killed in raid.</w:t>
      </w:r>
      <w:r w:rsidRPr="006B7B5C">
        <w:rPr>
          <w:color w:val="000000" w:themeColor="text1"/>
          <w:lang w:val="en-US"/>
        </w:rPr>
        <w:t xml:space="preserve"> </w:t>
      </w:r>
      <w:hyperlink r:id="rId13" w:history="1">
        <w:r w:rsidRPr="006B7B5C">
          <w:rPr>
            <w:rStyle w:val="Hyperlinkki"/>
            <w:lang w:val="en-US"/>
          </w:rPr>
          <w:t>https://www.bbc.com/news/world-latin-america-42695537</w:t>
        </w:r>
      </w:hyperlink>
      <w:r w:rsidRPr="006B7B5C">
        <w:rPr>
          <w:color w:val="FF0000"/>
          <w:lang w:val="en-US"/>
        </w:rPr>
        <w:t xml:space="preserve"> </w:t>
      </w:r>
      <w:r w:rsidRPr="006B7B5C">
        <w:rPr>
          <w:color w:val="000000" w:themeColor="text1"/>
          <w:lang w:val="en-US"/>
        </w:rPr>
        <w:t>(</w:t>
      </w:r>
      <w:proofErr w:type="spellStart"/>
      <w:r w:rsidRPr="006B7B5C">
        <w:rPr>
          <w:color w:val="000000" w:themeColor="text1"/>
          <w:lang w:val="en-US"/>
        </w:rPr>
        <w:t>käyty</w:t>
      </w:r>
      <w:proofErr w:type="spellEnd"/>
      <w:r w:rsidRPr="006B7B5C">
        <w:rPr>
          <w:color w:val="000000" w:themeColor="text1"/>
          <w:lang w:val="en-US"/>
        </w:rPr>
        <w:t xml:space="preserve"> 15.11.2024).</w:t>
      </w:r>
    </w:p>
    <w:p w14:paraId="66CA6CB9" w14:textId="7D620FC5" w:rsidR="00B44B78" w:rsidRDefault="00B44B78" w:rsidP="006B7B5C">
      <w:pPr>
        <w:pStyle w:val="Alaviitteenteksti"/>
        <w:jc w:val="left"/>
        <w:rPr>
          <w:lang w:val="en-US"/>
        </w:rPr>
      </w:pPr>
    </w:p>
    <w:p w14:paraId="3603E8CF" w14:textId="7674D278" w:rsidR="00B44B78" w:rsidRPr="00681B11" w:rsidRDefault="00B44B78" w:rsidP="006B7B5C">
      <w:pPr>
        <w:pStyle w:val="Alaviitteenteksti"/>
        <w:jc w:val="left"/>
        <w:rPr>
          <w:lang w:val="en-US"/>
        </w:rPr>
      </w:pPr>
      <w:r w:rsidRPr="00B44B78">
        <w:rPr>
          <w:lang w:val="en-US"/>
        </w:rPr>
        <w:t xml:space="preserve">BBC </w:t>
      </w:r>
      <w:r w:rsidRPr="006B7B5C">
        <w:rPr>
          <w:color w:val="000000" w:themeColor="text1"/>
          <w:lang w:val="en-US"/>
        </w:rPr>
        <w:t xml:space="preserve">(British Broadcasting Corporation) </w:t>
      </w:r>
      <w:r w:rsidRPr="00B44B78">
        <w:rPr>
          <w:lang w:val="en-US"/>
        </w:rPr>
        <w:t xml:space="preserve">Mundo 28.6.2017. </w:t>
      </w:r>
      <w:proofErr w:type="spellStart"/>
      <w:r w:rsidRPr="00B44B78">
        <w:rPr>
          <w:i/>
          <w:lang w:val="en-US"/>
        </w:rPr>
        <w:t>Qué</w:t>
      </w:r>
      <w:proofErr w:type="spellEnd"/>
      <w:r w:rsidRPr="00B44B78">
        <w:rPr>
          <w:i/>
          <w:lang w:val="en-US"/>
        </w:rPr>
        <w:t xml:space="preserve"> es el CICPC, el </w:t>
      </w:r>
      <w:proofErr w:type="spellStart"/>
      <w:r w:rsidRPr="00B44B78">
        <w:rPr>
          <w:i/>
          <w:lang w:val="en-US"/>
        </w:rPr>
        <w:t>cuerpo</w:t>
      </w:r>
      <w:proofErr w:type="spellEnd"/>
      <w:r w:rsidRPr="00B44B78">
        <w:rPr>
          <w:i/>
          <w:lang w:val="en-US"/>
        </w:rPr>
        <w:t xml:space="preserve"> de </w:t>
      </w:r>
      <w:proofErr w:type="spellStart"/>
      <w:r w:rsidRPr="00B44B78">
        <w:rPr>
          <w:i/>
          <w:lang w:val="en-US"/>
        </w:rPr>
        <w:t>policía</w:t>
      </w:r>
      <w:proofErr w:type="spellEnd"/>
      <w:r w:rsidRPr="00B44B78">
        <w:rPr>
          <w:i/>
          <w:lang w:val="en-US"/>
        </w:rPr>
        <w:t xml:space="preserve"> </w:t>
      </w:r>
      <w:proofErr w:type="spellStart"/>
      <w:r w:rsidRPr="00B44B78">
        <w:rPr>
          <w:i/>
          <w:lang w:val="en-US"/>
        </w:rPr>
        <w:t>cuyo</w:t>
      </w:r>
      <w:proofErr w:type="spellEnd"/>
      <w:r w:rsidRPr="00B44B78">
        <w:rPr>
          <w:i/>
          <w:lang w:val="en-US"/>
        </w:rPr>
        <w:t xml:space="preserve"> </w:t>
      </w:r>
      <w:proofErr w:type="spellStart"/>
      <w:r w:rsidRPr="00B44B78">
        <w:rPr>
          <w:i/>
          <w:lang w:val="en-US"/>
        </w:rPr>
        <w:t>helicóptero</w:t>
      </w:r>
      <w:proofErr w:type="spellEnd"/>
      <w:r w:rsidRPr="00B44B78">
        <w:rPr>
          <w:i/>
          <w:lang w:val="en-US"/>
        </w:rPr>
        <w:t xml:space="preserve"> se </w:t>
      </w:r>
      <w:proofErr w:type="spellStart"/>
      <w:r w:rsidRPr="00B44B78">
        <w:rPr>
          <w:i/>
          <w:lang w:val="en-US"/>
        </w:rPr>
        <w:t>usó</w:t>
      </w:r>
      <w:proofErr w:type="spellEnd"/>
      <w:r w:rsidRPr="00B44B78">
        <w:rPr>
          <w:i/>
          <w:lang w:val="en-US"/>
        </w:rPr>
        <w:t xml:space="preserve"> </w:t>
      </w:r>
      <w:proofErr w:type="spellStart"/>
      <w:r w:rsidRPr="00B44B78">
        <w:rPr>
          <w:i/>
          <w:lang w:val="en-US"/>
        </w:rPr>
        <w:t>en</w:t>
      </w:r>
      <w:proofErr w:type="spellEnd"/>
      <w:r w:rsidRPr="00B44B78">
        <w:rPr>
          <w:i/>
          <w:lang w:val="en-US"/>
        </w:rPr>
        <w:t xml:space="preserve"> el </w:t>
      </w:r>
      <w:proofErr w:type="spellStart"/>
      <w:r w:rsidRPr="00B44B78">
        <w:rPr>
          <w:i/>
          <w:lang w:val="en-US"/>
        </w:rPr>
        <w:t>ataque</w:t>
      </w:r>
      <w:proofErr w:type="spellEnd"/>
      <w:r w:rsidRPr="00B44B78">
        <w:rPr>
          <w:i/>
          <w:lang w:val="en-US"/>
        </w:rPr>
        <w:t xml:space="preserve"> contra el Tribunal </w:t>
      </w:r>
      <w:proofErr w:type="spellStart"/>
      <w:r w:rsidRPr="00B44B78">
        <w:rPr>
          <w:i/>
          <w:lang w:val="en-US"/>
        </w:rPr>
        <w:t>Supremo</w:t>
      </w:r>
      <w:proofErr w:type="spellEnd"/>
      <w:r w:rsidRPr="00B44B78">
        <w:rPr>
          <w:i/>
          <w:lang w:val="en-US"/>
        </w:rPr>
        <w:t xml:space="preserve"> de Justicia y el </w:t>
      </w:r>
      <w:proofErr w:type="spellStart"/>
      <w:r w:rsidRPr="00B44B78">
        <w:rPr>
          <w:i/>
          <w:lang w:val="en-US"/>
        </w:rPr>
        <w:t>Ministerio</w:t>
      </w:r>
      <w:proofErr w:type="spellEnd"/>
      <w:r w:rsidRPr="00B44B78">
        <w:rPr>
          <w:i/>
          <w:lang w:val="en-US"/>
        </w:rPr>
        <w:t xml:space="preserve"> del Interior de Venezuela.</w:t>
      </w:r>
      <w:r w:rsidRPr="00B44B78">
        <w:rPr>
          <w:lang w:val="en-US"/>
        </w:rPr>
        <w:t xml:space="preserve"> </w:t>
      </w:r>
      <w:hyperlink r:id="rId14" w:history="1">
        <w:r w:rsidRPr="00681B11">
          <w:rPr>
            <w:rStyle w:val="Hyperlinkki"/>
            <w:lang w:val="en-US"/>
          </w:rPr>
          <w:t>https://www.bbc.com/mundo/noticias-america-latina-40430359</w:t>
        </w:r>
      </w:hyperlink>
      <w:r w:rsidRPr="00681B11">
        <w:rPr>
          <w:lang w:val="en-US"/>
        </w:rPr>
        <w:t xml:space="preserve"> (</w:t>
      </w:r>
      <w:proofErr w:type="spellStart"/>
      <w:r w:rsidRPr="00681B11">
        <w:rPr>
          <w:lang w:val="en-US"/>
        </w:rPr>
        <w:t>käyty</w:t>
      </w:r>
      <w:proofErr w:type="spellEnd"/>
      <w:r w:rsidRPr="00681B11">
        <w:rPr>
          <w:lang w:val="en-US"/>
        </w:rPr>
        <w:t xml:space="preserve"> 15.11.2024).</w:t>
      </w:r>
    </w:p>
    <w:p w14:paraId="6121BEB6" w14:textId="7FA58B5C" w:rsidR="00894C55" w:rsidRDefault="00894C55" w:rsidP="00E12A8C">
      <w:pPr>
        <w:jc w:val="left"/>
        <w:rPr>
          <w:lang w:val="en-US"/>
        </w:rPr>
      </w:pPr>
      <w:r>
        <w:rPr>
          <w:lang w:val="en-US"/>
        </w:rPr>
        <w:t xml:space="preserve">The Constitute Project 2012. </w:t>
      </w:r>
      <w:r w:rsidRPr="00894C55">
        <w:rPr>
          <w:i/>
          <w:lang w:val="en-US"/>
        </w:rPr>
        <w:t xml:space="preserve">Venezuela (Bolivarian Republic of) 1999 (rev. 2009). </w:t>
      </w:r>
      <w:hyperlink r:id="rId15" w:history="1">
        <w:r w:rsidRPr="00E94FAA">
          <w:rPr>
            <w:rStyle w:val="Hyperlinkki"/>
            <w:lang w:val="en-US"/>
          </w:rPr>
          <w:t>https://www.constituteproject.org/constitution/Venezuela_2009</w:t>
        </w:r>
      </w:hyperlink>
      <w:r>
        <w:rPr>
          <w:lang w:val="en-US"/>
        </w:rPr>
        <w:t xml:space="preserve"> (</w:t>
      </w:r>
      <w:proofErr w:type="spellStart"/>
      <w:r>
        <w:rPr>
          <w:lang w:val="en-US"/>
        </w:rPr>
        <w:t>käyty</w:t>
      </w:r>
      <w:proofErr w:type="spellEnd"/>
      <w:r>
        <w:rPr>
          <w:lang w:val="en-US"/>
        </w:rPr>
        <w:t xml:space="preserve"> 14.11.2024).</w:t>
      </w:r>
    </w:p>
    <w:p w14:paraId="735CB4C8" w14:textId="31ECB67E" w:rsidR="00E56490" w:rsidRPr="005B575C" w:rsidRDefault="00E56490" w:rsidP="00E12A8C">
      <w:pPr>
        <w:jc w:val="left"/>
        <w:rPr>
          <w:lang w:val="en-US"/>
        </w:rPr>
      </w:pPr>
      <w:r>
        <w:rPr>
          <w:lang w:val="en-US"/>
        </w:rPr>
        <w:t>Council on Foreign Relations</w:t>
      </w:r>
      <w:r w:rsidR="005B575C">
        <w:rPr>
          <w:lang w:val="en-US"/>
        </w:rPr>
        <w:t xml:space="preserve"> [</w:t>
      </w:r>
      <w:proofErr w:type="spellStart"/>
      <w:r w:rsidR="005B575C">
        <w:rPr>
          <w:lang w:val="en-US"/>
        </w:rPr>
        <w:t>päiväämätön</w:t>
      </w:r>
      <w:proofErr w:type="spellEnd"/>
      <w:r w:rsidR="005B575C">
        <w:rPr>
          <w:lang w:val="en-US"/>
        </w:rPr>
        <w:t>].</w:t>
      </w:r>
      <w:r>
        <w:rPr>
          <w:lang w:val="en-US"/>
        </w:rPr>
        <w:t xml:space="preserve"> </w:t>
      </w:r>
      <w:r w:rsidRPr="005B575C">
        <w:rPr>
          <w:i/>
          <w:lang w:val="en-US"/>
        </w:rPr>
        <w:t xml:space="preserve">Venezuela’s Chavez era. </w:t>
      </w:r>
      <w:hyperlink r:id="rId16" w:history="1">
        <w:r w:rsidRPr="005B575C">
          <w:rPr>
            <w:rStyle w:val="Hyperlinkki"/>
            <w:lang w:val="en-US"/>
          </w:rPr>
          <w:t>https://www.cfr.org/timeline/venezuelas-chavez-era</w:t>
        </w:r>
      </w:hyperlink>
      <w:r w:rsidRPr="005B575C">
        <w:rPr>
          <w:lang w:val="en-US"/>
        </w:rPr>
        <w:t xml:space="preserve"> </w:t>
      </w:r>
      <w:r w:rsidR="005B575C" w:rsidRPr="005B575C">
        <w:rPr>
          <w:lang w:val="en-US"/>
        </w:rPr>
        <w:t>(</w:t>
      </w:r>
      <w:proofErr w:type="spellStart"/>
      <w:r w:rsidR="005B575C">
        <w:rPr>
          <w:lang w:val="en-US"/>
        </w:rPr>
        <w:t>käyty</w:t>
      </w:r>
      <w:proofErr w:type="spellEnd"/>
      <w:r w:rsidR="005B575C">
        <w:rPr>
          <w:lang w:val="en-US"/>
        </w:rPr>
        <w:t xml:space="preserve"> 15.11.2024).</w:t>
      </w:r>
    </w:p>
    <w:p w14:paraId="1607E756" w14:textId="4862B50C" w:rsidR="009C305F" w:rsidRPr="00681B11" w:rsidRDefault="00E12A8C" w:rsidP="00E12A8C">
      <w:pPr>
        <w:jc w:val="left"/>
        <w:rPr>
          <w:lang w:val="en-US"/>
        </w:rPr>
      </w:pPr>
      <w:r w:rsidRPr="00DA4BA3">
        <w:rPr>
          <w:lang w:val="en-US"/>
        </w:rPr>
        <w:t>EUAA</w:t>
      </w:r>
      <w:r w:rsidR="00DA4BA3" w:rsidRPr="00DA4BA3">
        <w:rPr>
          <w:lang w:val="en-US"/>
        </w:rPr>
        <w:t xml:space="preserve"> (European Union A</w:t>
      </w:r>
      <w:r w:rsidR="00DA4BA3">
        <w:rPr>
          <w:lang w:val="en-US"/>
        </w:rPr>
        <w:t xml:space="preserve">gency for Asylum) 11/2023. </w:t>
      </w:r>
      <w:r w:rsidR="00DA4BA3" w:rsidRPr="00DA4BA3">
        <w:rPr>
          <w:i/>
          <w:lang w:val="en-US"/>
        </w:rPr>
        <w:t>Venezuela – Country Focus</w:t>
      </w:r>
      <w:r w:rsidR="00DA4BA3">
        <w:rPr>
          <w:i/>
          <w:lang w:val="en-US"/>
        </w:rPr>
        <w:t xml:space="preserve"> </w:t>
      </w:r>
      <w:r w:rsidR="00DA4BA3">
        <w:rPr>
          <w:lang w:val="en-US"/>
        </w:rPr>
        <w:t>[</w:t>
      </w:r>
      <w:proofErr w:type="spellStart"/>
      <w:r w:rsidR="00DA4BA3">
        <w:rPr>
          <w:lang w:val="en-US"/>
        </w:rPr>
        <w:t>raportti</w:t>
      </w:r>
      <w:proofErr w:type="spellEnd"/>
      <w:r w:rsidR="00DA4BA3">
        <w:rPr>
          <w:lang w:val="en-US"/>
        </w:rPr>
        <w:t>]</w:t>
      </w:r>
      <w:r w:rsidR="00DA4BA3" w:rsidRPr="00DA4BA3">
        <w:rPr>
          <w:i/>
          <w:lang w:val="en-US"/>
        </w:rPr>
        <w:t>.</w:t>
      </w:r>
      <w:r w:rsidR="00DA4BA3">
        <w:rPr>
          <w:lang w:val="en-US"/>
        </w:rPr>
        <w:t xml:space="preserve"> </w:t>
      </w:r>
      <w:hyperlink r:id="rId17" w:history="1">
        <w:r w:rsidR="00DA4BA3" w:rsidRPr="00681B11">
          <w:rPr>
            <w:rStyle w:val="Hyperlinkki"/>
            <w:lang w:val="en-US"/>
          </w:rPr>
          <w:t>https://euaa.europa.eu/sites/default/files/publications/2023-11/2023_11_COI_Report_Venezuela_Country_Focus_EN.pdf</w:t>
        </w:r>
      </w:hyperlink>
      <w:r w:rsidR="00DA4BA3" w:rsidRPr="00681B11">
        <w:rPr>
          <w:lang w:val="en-US"/>
        </w:rPr>
        <w:t xml:space="preserve"> (</w:t>
      </w:r>
      <w:proofErr w:type="spellStart"/>
      <w:r w:rsidR="00DA4BA3" w:rsidRPr="00681B11">
        <w:rPr>
          <w:lang w:val="en-US"/>
        </w:rPr>
        <w:t>käyty</w:t>
      </w:r>
      <w:proofErr w:type="spellEnd"/>
      <w:r w:rsidR="00DA4BA3" w:rsidRPr="00681B11">
        <w:rPr>
          <w:lang w:val="en-US"/>
        </w:rPr>
        <w:t xml:space="preserve"> 11.11.2024).</w:t>
      </w:r>
    </w:p>
    <w:p w14:paraId="4DDBE4D7" w14:textId="3C216115" w:rsidR="004B4F3F" w:rsidRPr="00DA4BA3" w:rsidRDefault="004B4F3F" w:rsidP="00E12A8C">
      <w:pPr>
        <w:jc w:val="left"/>
        <w:rPr>
          <w:lang w:val="en-US"/>
        </w:rPr>
      </w:pPr>
      <w:r w:rsidRPr="00DA4BA3">
        <w:rPr>
          <w:lang w:val="en-US"/>
        </w:rPr>
        <w:t>HRW</w:t>
      </w:r>
      <w:r w:rsidR="005B575C">
        <w:rPr>
          <w:lang w:val="en-US"/>
        </w:rPr>
        <w:t xml:space="preserve"> (Human Rights Watch)</w:t>
      </w:r>
    </w:p>
    <w:p w14:paraId="15FE752B" w14:textId="52E02761" w:rsidR="004B4F3F" w:rsidRPr="005B575C" w:rsidRDefault="004B4F3F" w:rsidP="00DA4BA3">
      <w:pPr>
        <w:ind w:left="720"/>
        <w:jc w:val="left"/>
      </w:pPr>
      <w:r w:rsidRPr="005B575C">
        <w:rPr>
          <w:lang w:val="en-US"/>
        </w:rPr>
        <w:t>4.9.2024.</w:t>
      </w:r>
      <w:r w:rsidR="005B575C" w:rsidRPr="005B575C">
        <w:rPr>
          <w:lang w:val="en-US"/>
        </w:rPr>
        <w:t xml:space="preserve"> </w:t>
      </w:r>
      <w:r w:rsidR="005B575C" w:rsidRPr="005B575C">
        <w:rPr>
          <w:i/>
          <w:lang w:val="en-US"/>
        </w:rPr>
        <w:t>Venezuela: Brutal Crackdown on Protesters, Voters.</w:t>
      </w:r>
      <w:r w:rsidRPr="005B575C">
        <w:rPr>
          <w:lang w:val="en-US"/>
        </w:rPr>
        <w:t xml:space="preserve"> </w:t>
      </w:r>
      <w:r w:rsidR="005B575C" w:rsidRPr="005B575C">
        <w:rPr>
          <w:i/>
          <w:lang w:val="en-US"/>
        </w:rPr>
        <w:t xml:space="preserve">Killings, Mass Arrests Following Elections. </w:t>
      </w:r>
      <w:hyperlink r:id="rId18" w:history="1">
        <w:r w:rsidR="005B575C" w:rsidRPr="00E94FAA">
          <w:rPr>
            <w:rStyle w:val="Hyperlinkki"/>
          </w:rPr>
          <w:t>https://www.hrw.org/news/2024/09/04/venezuela-brutal-crackdown-protesters-voters</w:t>
        </w:r>
      </w:hyperlink>
      <w:r w:rsidRPr="005B575C">
        <w:t xml:space="preserve"> </w:t>
      </w:r>
      <w:r w:rsidR="005B575C" w:rsidRPr="005B575C">
        <w:t>(käyty 12.11.2024).</w:t>
      </w:r>
    </w:p>
    <w:p w14:paraId="20B55173" w14:textId="3CEC8E68" w:rsidR="004B4F3F" w:rsidRPr="006C6CA3" w:rsidRDefault="00A61A15" w:rsidP="00DA4BA3">
      <w:pPr>
        <w:ind w:left="720"/>
        <w:jc w:val="left"/>
        <w:rPr>
          <w:lang w:val="en-US"/>
        </w:rPr>
      </w:pPr>
      <w:r>
        <w:rPr>
          <w:lang w:val="en-US"/>
        </w:rPr>
        <w:t>11.1.</w:t>
      </w:r>
      <w:r w:rsidR="00DA4BA3" w:rsidRPr="00681B11">
        <w:rPr>
          <w:lang w:val="en-US"/>
        </w:rPr>
        <w:t>2024.</w:t>
      </w:r>
      <w:r w:rsidR="005B575C" w:rsidRPr="00681B11">
        <w:rPr>
          <w:lang w:val="en-US"/>
        </w:rPr>
        <w:t xml:space="preserve"> </w:t>
      </w:r>
      <w:r w:rsidR="005B575C" w:rsidRPr="005B575C">
        <w:rPr>
          <w:i/>
          <w:lang w:val="en-US"/>
        </w:rPr>
        <w:t>World Report 2024. Venezuela. Events of 2023.</w:t>
      </w:r>
      <w:r w:rsidR="004B4F3F" w:rsidRPr="005B575C">
        <w:rPr>
          <w:lang w:val="en-US"/>
        </w:rPr>
        <w:t xml:space="preserve"> </w:t>
      </w:r>
      <w:hyperlink r:id="rId19" w:history="1">
        <w:r w:rsidR="004B4F3F" w:rsidRPr="006C6CA3">
          <w:rPr>
            <w:rStyle w:val="Hyperlinkki"/>
            <w:lang w:val="en-US"/>
          </w:rPr>
          <w:t>https://</w:t>
        </w:r>
        <w:r w:rsidR="004B4F3F" w:rsidRPr="006C6CA3">
          <w:rPr>
            <w:rStyle w:val="Hyperlinkki"/>
            <w:lang w:val="en-US"/>
          </w:rPr>
          <w:t>w</w:t>
        </w:r>
        <w:r w:rsidR="004B4F3F" w:rsidRPr="006C6CA3">
          <w:rPr>
            <w:rStyle w:val="Hyperlinkki"/>
            <w:lang w:val="en-US"/>
          </w:rPr>
          <w:t>ww.hrw.org/world-report/2024/country-chapters/venezuela</w:t>
        </w:r>
      </w:hyperlink>
      <w:r w:rsidR="004B4F3F" w:rsidRPr="006C6CA3">
        <w:rPr>
          <w:lang w:val="en-US"/>
        </w:rPr>
        <w:t xml:space="preserve"> </w:t>
      </w:r>
      <w:r w:rsidR="005B575C" w:rsidRPr="006C6CA3">
        <w:rPr>
          <w:lang w:val="en-US"/>
        </w:rPr>
        <w:t>(</w:t>
      </w:r>
      <w:proofErr w:type="spellStart"/>
      <w:r w:rsidR="005B575C" w:rsidRPr="006C6CA3">
        <w:rPr>
          <w:lang w:val="en-US"/>
        </w:rPr>
        <w:t>käyty</w:t>
      </w:r>
      <w:proofErr w:type="spellEnd"/>
      <w:r w:rsidR="005B575C" w:rsidRPr="006C6CA3">
        <w:rPr>
          <w:lang w:val="en-US"/>
        </w:rPr>
        <w:t xml:space="preserve"> 15.11.2024).</w:t>
      </w:r>
    </w:p>
    <w:p w14:paraId="70D18727" w14:textId="0B10DB2F" w:rsidR="00E12A8C" w:rsidRPr="00263B20" w:rsidRDefault="00E12A8C" w:rsidP="00E12A8C">
      <w:pPr>
        <w:jc w:val="left"/>
      </w:pPr>
      <w:r w:rsidRPr="00F86776">
        <w:rPr>
          <w:lang w:val="en-US"/>
        </w:rPr>
        <w:t xml:space="preserve">ICJ </w:t>
      </w:r>
      <w:r>
        <w:rPr>
          <w:lang w:val="en-US"/>
        </w:rPr>
        <w:t xml:space="preserve">(International Commission of Jurists) </w:t>
      </w:r>
      <w:r w:rsidRPr="00F86776">
        <w:rPr>
          <w:lang w:val="en-US"/>
        </w:rPr>
        <w:t xml:space="preserve">4/2024. </w:t>
      </w:r>
      <w:r w:rsidRPr="00263B20">
        <w:rPr>
          <w:i/>
          <w:lang w:val="en-US"/>
        </w:rPr>
        <w:t>No will for Justice in Venezuela: A Prosecutor’s Office that fosters impunity.</w:t>
      </w:r>
      <w:r>
        <w:rPr>
          <w:lang w:val="en-US"/>
        </w:rPr>
        <w:t xml:space="preserve"> </w:t>
      </w:r>
      <w:hyperlink r:id="rId20" w:history="1">
        <w:r w:rsidRPr="00263B20">
          <w:rPr>
            <w:rStyle w:val="Hyperlinkki"/>
          </w:rPr>
          <w:t>https://www.icj.org/venezuela-systematic-failure-by-the-prosecution-office-to-tackle-gross-human-rights-violations-brings-about-near-total-impunity/</w:t>
        </w:r>
      </w:hyperlink>
      <w:r w:rsidRPr="00263B20">
        <w:t xml:space="preserve"> (kä</w:t>
      </w:r>
      <w:r>
        <w:t>yty 12.11.2024).</w:t>
      </w:r>
    </w:p>
    <w:p w14:paraId="313AE7A4" w14:textId="77777777" w:rsidR="00E12A8C" w:rsidRPr="00D04892" w:rsidRDefault="00E12A8C" w:rsidP="00E12A8C">
      <w:pPr>
        <w:jc w:val="left"/>
      </w:pPr>
      <w:r w:rsidRPr="00D04892">
        <w:t>Maahanmuuttovirasto / maatietopalvelu</w:t>
      </w:r>
    </w:p>
    <w:p w14:paraId="3BD55DD0" w14:textId="77777777" w:rsidR="00E12A8C" w:rsidRDefault="00E12A8C" w:rsidP="00E12A8C">
      <w:pPr>
        <w:ind w:left="720"/>
        <w:jc w:val="left"/>
      </w:pPr>
      <w:r w:rsidRPr="00771BA9">
        <w:lastRenderedPageBreak/>
        <w:t xml:space="preserve">21.3.2023. </w:t>
      </w:r>
      <w:r w:rsidRPr="00771BA9">
        <w:rPr>
          <w:i/>
        </w:rPr>
        <w:t xml:space="preserve">Venezuela / FAES ja oikeudenloukkaukset, </w:t>
      </w:r>
      <w:proofErr w:type="spellStart"/>
      <w:r w:rsidRPr="00771BA9">
        <w:rPr>
          <w:i/>
        </w:rPr>
        <w:t>Acción</w:t>
      </w:r>
      <w:proofErr w:type="spellEnd"/>
      <w:r w:rsidRPr="00771BA9">
        <w:rPr>
          <w:i/>
        </w:rPr>
        <w:t xml:space="preserve"> </w:t>
      </w:r>
      <w:proofErr w:type="spellStart"/>
      <w:r w:rsidRPr="00771BA9">
        <w:rPr>
          <w:i/>
        </w:rPr>
        <w:t>Democrática</w:t>
      </w:r>
      <w:proofErr w:type="spellEnd"/>
      <w:r w:rsidRPr="00771BA9">
        <w:rPr>
          <w:i/>
        </w:rPr>
        <w:t xml:space="preserve"> -puolue, </w:t>
      </w:r>
      <w:proofErr w:type="spellStart"/>
      <w:r w:rsidRPr="00771BA9">
        <w:rPr>
          <w:i/>
        </w:rPr>
        <w:t>Voluntad</w:t>
      </w:r>
      <w:proofErr w:type="spellEnd"/>
      <w:r w:rsidRPr="00771BA9">
        <w:rPr>
          <w:i/>
        </w:rPr>
        <w:t xml:space="preserve"> </w:t>
      </w:r>
      <w:proofErr w:type="spellStart"/>
      <w:r w:rsidRPr="00771BA9">
        <w:rPr>
          <w:i/>
        </w:rPr>
        <w:t>Popular</w:t>
      </w:r>
      <w:proofErr w:type="spellEnd"/>
      <w:r w:rsidRPr="00771BA9">
        <w:rPr>
          <w:i/>
        </w:rPr>
        <w:t xml:space="preserve"> -puolue</w:t>
      </w:r>
      <w:r>
        <w:t xml:space="preserve"> [kyselyvastaus]. Saatavilla: Tellus-</w:t>
      </w:r>
      <w:proofErr w:type="spellStart"/>
      <w:r>
        <w:t>maatietokannassa</w:t>
      </w:r>
      <w:proofErr w:type="spellEnd"/>
      <w:r>
        <w:t xml:space="preserve"> [edellyttää kirjautumista].</w:t>
      </w:r>
    </w:p>
    <w:p w14:paraId="68C4A380" w14:textId="25BA1386" w:rsidR="00064FD5" w:rsidRPr="00064FD5" w:rsidRDefault="00064FD5" w:rsidP="00E12A8C">
      <w:pPr>
        <w:ind w:left="720"/>
        <w:jc w:val="left"/>
      </w:pPr>
      <w:r w:rsidRPr="00064FD5">
        <w:rPr>
          <w:color w:val="000000" w:themeColor="text1"/>
        </w:rPr>
        <w:t xml:space="preserve">6.11.2019. </w:t>
      </w:r>
      <w:r w:rsidRPr="005C597E">
        <w:rPr>
          <w:i/>
        </w:rPr>
        <w:t>Venezuela / mielenosoitukset, oikeudenloukkaukset, pidätykset, ehdonalainen, alaikäise</w:t>
      </w:r>
      <w:r>
        <w:rPr>
          <w:i/>
        </w:rPr>
        <w:t xml:space="preserve">t </w:t>
      </w:r>
      <w:r>
        <w:t>[kyselyvastaus]. Saatavilla: Tellus-</w:t>
      </w:r>
      <w:proofErr w:type="spellStart"/>
      <w:r>
        <w:t>maatietokannassa</w:t>
      </w:r>
      <w:proofErr w:type="spellEnd"/>
      <w:r>
        <w:t xml:space="preserve"> [edellyttää kirjautumista].</w:t>
      </w:r>
    </w:p>
    <w:p w14:paraId="037CC93C" w14:textId="0DBBC835" w:rsidR="00E12A8C" w:rsidRDefault="00064FD5" w:rsidP="00E12A8C">
      <w:pPr>
        <w:ind w:left="720"/>
        <w:jc w:val="left"/>
      </w:pPr>
      <w:r w:rsidRPr="00064FD5">
        <w:rPr>
          <w:color w:val="000000" w:themeColor="text1"/>
        </w:rPr>
        <w:t>29.8.2019.</w:t>
      </w:r>
      <w:r w:rsidRPr="00064FD5">
        <w:rPr>
          <w:i/>
          <w:color w:val="000000" w:themeColor="text1"/>
        </w:rPr>
        <w:t xml:space="preserve"> </w:t>
      </w:r>
      <w:r w:rsidRPr="00064FD5">
        <w:rPr>
          <w:i/>
        </w:rPr>
        <w:t xml:space="preserve">Venezuela / Viranomaissuojelun saatavuus </w:t>
      </w:r>
      <w:r>
        <w:t>[kyselyvastaus]. Saatavilla: Tellus-</w:t>
      </w:r>
      <w:proofErr w:type="spellStart"/>
      <w:r>
        <w:t>maatietokannassa</w:t>
      </w:r>
      <w:proofErr w:type="spellEnd"/>
      <w:r>
        <w:t xml:space="preserve"> [edellyttää kirjautumista].</w:t>
      </w:r>
    </w:p>
    <w:p w14:paraId="77FC5B1D" w14:textId="2D3393F1" w:rsidR="006B7B5C" w:rsidRPr="00064FD5" w:rsidRDefault="006B7B5C" w:rsidP="00E12A8C">
      <w:pPr>
        <w:ind w:left="720"/>
        <w:jc w:val="left"/>
      </w:pPr>
      <w:r>
        <w:rPr>
          <w:color w:val="000000" w:themeColor="text1"/>
        </w:rPr>
        <w:t xml:space="preserve">7.3.2019. </w:t>
      </w:r>
      <w:r w:rsidRPr="005C597E">
        <w:rPr>
          <w:i/>
        </w:rPr>
        <w:t xml:space="preserve">Venezuela / </w:t>
      </w:r>
      <w:proofErr w:type="spellStart"/>
      <w:r w:rsidRPr="005C597E">
        <w:rPr>
          <w:i/>
        </w:rPr>
        <w:t>Colectivos</w:t>
      </w:r>
      <w:proofErr w:type="spellEnd"/>
      <w:r w:rsidRPr="005C597E">
        <w:rPr>
          <w:i/>
        </w:rPr>
        <w:t>-ryhmät ja viranomaisten suhtautuminen heidän toimintaansa</w:t>
      </w:r>
      <w:r>
        <w:rPr>
          <w:i/>
        </w:rPr>
        <w:t xml:space="preserve"> </w:t>
      </w:r>
      <w:r>
        <w:t>[kyselyvastaus]. Saatavilla: Tellus-</w:t>
      </w:r>
      <w:proofErr w:type="spellStart"/>
      <w:r>
        <w:t>maatietokannassa</w:t>
      </w:r>
      <w:proofErr w:type="spellEnd"/>
      <w:r>
        <w:t xml:space="preserve"> [edellyttää kirjautumista].</w:t>
      </w:r>
    </w:p>
    <w:p w14:paraId="7F4FFD57" w14:textId="4C9D0257" w:rsidR="00FC216F" w:rsidRPr="00FC216F" w:rsidRDefault="00FC216F" w:rsidP="00E12A8C">
      <w:pPr>
        <w:jc w:val="left"/>
        <w:rPr>
          <w:lang w:val="en-US"/>
        </w:rPr>
      </w:pPr>
      <w:proofErr w:type="spellStart"/>
      <w:r w:rsidRPr="00FC216F">
        <w:t>Mundaray</w:t>
      </w:r>
      <w:proofErr w:type="spellEnd"/>
      <w:r w:rsidRPr="00FC216F">
        <w:t xml:space="preserve">, </w:t>
      </w:r>
      <w:proofErr w:type="spellStart"/>
      <w:r w:rsidRPr="00FC216F">
        <w:t>Zair</w:t>
      </w:r>
      <w:proofErr w:type="spellEnd"/>
      <w:r w:rsidRPr="00FC216F">
        <w:t xml:space="preserve"> 27.10.2020. </w:t>
      </w:r>
      <w:proofErr w:type="spellStart"/>
      <w:r w:rsidRPr="00FC216F">
        <w:rPr>
          <w:i/>
        </w:rPr>
        <w:t>El</w:t>
      </w:r>
      <w:proofErr w:type="spellEnd"/>
      <w:r w:rsidRPr="00FC216F">
        <w:rPr>
          <w:i/>
        </w:rPr>
        <w:t xml:space="preserve"> CICPC </w:t>
      </w:r>
      <w:proofErr w:type="spellStart"/>
      <w:r w:rsidRPr="00FC216F">
        <w:rPr>
          <w:i/>
        </w:rPr>
        <w:t>por</w:t>
      </w:r>
      <w:proofErr w:type="spellEnd"/>
      <w:r w:rsidRPr="00FC216F">
        <w:rPr>
          <w:i/>
        </w:rPr>
        <w:t xml:space="preserve"> su </w:t>
      </w:r>
      <w:proofErr w:type="spellStart"/>
      <w:r w:rsidRPr="00FC216F">
        <w:rPr>
          <w:i/>
        </w:rPr>
        <w:t>parte</w:t>
      </w:r>
      <w:proofErr w:type="spellEnd"/>
      <w:r w:rsidRPr="00FC216F">
        <w:rPr>
          <w:i/>
        </w:rPr>
        <w:t xml:space="preserve">, </w:t>
      </w:r>
      <w:proofErr w:type="spellStart"/>
      <w:r w:rsidRPr="00FC216F">
        <w:rPr>
          <w:i/>
        </w:rPr>
        <w:t>acogió</w:t>
      </w:r>
      <w:proofErr w:type="spellEnd"/>
      <w:r w:rsidRPr="00FC216F">
        <w:rPr>
          <w:i/>
        </w:rPr>
        <w:t xml:space="preserve"> </w:t>
      </w:r>
      <w:proofErr w:type="spellStart"/>
      <w:r w:rsidRPr="00FC216F">
        <w:rPr>
          <w:i/>
        </w:rPr>
        <w:t>como</w:t>
      </w:r>
      <w:proofErr w:type="spellEnd"/>
      <w:r w:rsidRPr="00FC216F">
        <w:rPr>
          <w:i/>
        </w:rPr>
        <w:t xml:space="preserve"> armas de </w:t>
      </w:r>
      <w:proofErr w:type="spellStart"/>
      <w:r w:rsidRPr="00FC216F">
        <w:rPr>
          <w:i/>
        </w:rPr>
        <w:t>reglamento</w:t>
      </w:r>
      <w:proofErr w:type="spellEnd"/>
      <w:r w:rsidRPr="00FC216F">
        <w:rPr>
          <w:i/>
        </w:rPr>
        <w:t>…</w:t>
      </w:r>
      <w:r w:rsidRPr="00FC216F">
        <w:t xml:space="preserve"> </w:t>
      </w:r>
      <w:r w:rsidRPr="0092412E">
        <w:rPr>
          <w:lang w:val="en-US"/>
        </w:rPr>
        <w:t xml:space="preserve">[X]. </w:t>
      </w:r>
      <w:hyperlink r:id="rId21" w:history="1">
        <w:r w:rsidRPr="00AC1541">
          <w:rPr>
            <w:rStyle w:val="Hyperlinkki"/>
            <w:lang w:val="en-US"/>
          </w:rPr>
          <w:t>https://x.com/MundarayZair/status/1320957652055240704?lang=fi</w:t>
        </w:r>
      </w:hyperlink>
      <w:r>
        <w:rPr>
          <w:lang w:val="en-US"/>
        </w:rPr>
        <w:t xml:space="preserve"> (</w:t>
      </w:r>
      <w:proofErr w:type="spellStart"/>
      <w:r>
        <w:rPr>
          <w:lang w:val="en-US"/>
        </w:rPr>
        <w:t>käyty</w:t>
      </w:r>
      <w:proofErr w:type="spellEnd"/>
      <w:r>
        <w:rPr>
          <w:lang w:val="en-US"/>
        </w:rPr>
        <w:t xml:space="preserve"> 18.11.2024).</w:t>
      </w:r>
    </w:p>
    <w:p w14:paraId="3DFB55A5" w14:textId="71E44D11" w:rsidR="00E56490" w:rsidRPr="00681B11" w:rsidRDefault="00E56490" w:rsidP="00E12A8C">
      <w:pPr>
        <w:jc w:val="left"/>
        <w:rPr>
          <w:lang w:val="en-US"/>
        </w:rPr>
      </w:pPr>
      <w:r w:rsidRPr="00E56490">
        <w:rPr>
          <w:lang w:val="en-US"/>
        </w:rPr>
        <w:t xml:space="preserve">The New York Times / </w:t>
      </w:r>
      <w:proofErr w:type="spellStart"/>
      <w:r w:rsidRPr="00E56490">
        <w:rPr>
          <w:lang w:val="en-US"/>
        </w:rPr>
        <w:t>Turkewitz</w:t>
      </w:r>
      <w:proofErr w:type="spellEnd"/>
      <w:r>
        <w:rPr>
          <w:lang w:val="en-US"/>
        </w:rPr>
        <w:t xml:space="preserve">, Julie 1.10.2024. </w:t>
      </w:r>
      <w:r w:rsidRPr="004F2F27">
        <w:rPr>
          <w:i/>
          <w:lang w:val="en-US"/>
        </w:rPr>
        <w:t xml:space="preserve">Venezuela’s Last </w:t>
      </w:r>
      <w:proofErr w:type="spellStart"/>
      <w:r w:rsidRPr="004F2F27">
        <w:rPr>
          <w:i/>
          <w:lang w:val="en-US"/>
        </w:rPr>
        <w:t>Chavistas</w:t>
      </w:r>
      <w:proofErr w:type="spellEnd"/>
      <w:r w:rsidRPr="004F2F27">
        <w:rPr>
          <w:i/>
          <w:lang w:val="en-US"/>
        </w:rPr>
        <w:t>.</w:t>
      </w:r>
      <w:r>
        <w:rPr>
          <w:lang w:val="en-US"/>
        </w:rPr>
        <w:t xml:space="preserve"> </w:t>
      </w:r>
      <w:hyperlink r:id="rId22" w:history="1">
        <w:r w:rsidRPr="00681B11">
          <w:rPr>
            <w:rStyle w:val="Hyperlinkki"/>
            <w:lang w:val="en-US"/>
          </w:rPr>
          <w:t>https://www.nytimes.com/card/2024/10/01/world/americas/venezuela-hugo-chavez-chavismo</w:t>
        </w:r>
      </w:hyperlink>
      <w:r w:rsidRPr="00681B11">
        <w:rPr>
          <w:lang w:val="en-US"/>
        </w:rPr>
        <w:t xml:space="preserve"> </w:t>
      </w:r>
      <w:r w:rsidR="004F2F27" w:rsidRPr="00681B11">
        <w:rPr>
          <w:lang w:val="en-US"/>
        </w:rPr>
        <w:t>(</w:t>
      </w:r>
      <w:proofErr w:type="spellStart"/>
      <w:r w:rsidR="004F2F27" w:rsidRPr="00681B11">
        <w:rPr>
          <w:lang w:val="en-US"/>
        </w:rPr>
        <w:t>käyty</w:t>
      </w:r>
      <w:proofErr w:type="spellEnd"/>
      <w:r w:rsidR="004F2F27" w:rsidRPr="00681B11">
        <w:rPr>
          <w:lang w:val="en-US"/>
        </w:rPr>
        <w:t xml:space="preserve"> 15.11.2024).</w:t>
      </w:r>
    </w:p>
    <w:p w14:paraId="2AB335B8" w14:textId="741F9C10" w:rsidR="00D61A05" w:rsidRPr="00B7136C" w:rsidRDefault="00D61A05" w:rsidP="00E12A8C">
      <w:pPr>
        <w:jc w:val="left"/>
      </w:pPr>
      <w:r w:rsidRPr="003726B0">
        <w:rPr>
          <w:lang w:val="en-US"/>
        </w:rPr>
        <w:t xml:space="preserve">PROVEA </w:t>
      </w:r>
      <w:r w:rsidR="00B7136C" w:rsidRPr="003726B0">
        <w:rPr>
          <w:lang w:val="en-US"/>
        </w:rPr>
        <w:t>(</w:t>
      </w:r>
      <w:proofErr w:type="spellStart"/>
      <w:r w:rsidR="00B7136C" w:rsidRPr="003726B0">
        <w:rPr>
          <w:lang w:val="en-US"/>
        </w:rPr>
        <w:t>Programa</w:t>
      </w:r>
      <w:proofErr w:type="spellEnd"/>
      <w:r w:rsidR="00B7136C" w:rsidRPr="003726B0">
        <w:rPr>
          <w:lang w:val="en-US"/>
        </w:rPr>
        <w:t xml:space="preserve"> </w:t>
      </w:r>
      <w:proofErr w:type="spellStart"/>
      <w:r w:rsidR="00B7136C" w:rsidRPr="003726B0">
        <w:rPr>
          <w:lang w:val="en-US"/>
        </w:rPr>
        <w:t>Venezolana</w:t>
      </w:r>
      <w:proofErr w:type="spellEnd"/>
      <w:r w:rsidR="00B7136C" w:rsidRPr="003726B0">
        <w:rPr>
          <w:lang w:val="en-US"/>
        </w:rPr>
        <w:t xml:space="preserve"> de </w:t>
      </w:r>
      <w:proofErr w:type="spellStart"/>
      <w:r w:rsidR="00B7136C" w:rsidRPr="003726B0">
        <w:rPr>
          <w:lang w:val="en-US"/>
        </w:rPr>
        <w:t>Educación</w:t>
      </w:r>
      <w:proofErr w:type="spellEnd"/>
      <w:r w:rsidR="00B7136C" w:rsidRPr="003726B0">
        <w:rPr>
          <w:lang w:val="en-US"/>
        </w:rPr>
        <w:t xml:space="preserve"> </w:t>
      </w:r>
      <w:proofErr w:type="spellStart"/>
      <w:r w:rsidR="00B7136C" w:rsidRPr="003726B0">
        <w:rPr>
          <w:lang w:val="en-US"/>
        </w:rPr>
        <w:t>Acción</w:t>
      </w:r>
      <w:proofErr w:type="spellEnd"/>
      <w:r w:rsidR="00B7136C" w:rsidRPr="003726B0">
        <w:rPr>
          <w:lang w:val="en-US"/>
        </w:rPr>
        <w:t xml:space="preserve"> </w:t>
      </w:r>
      <w:proofErr w:type="spellStart"/>
      <w:r w:rsidR="00B7136C" w:rsidRPr="003726B0">
        <w:rPr>
          <w:lang w:val="en-US"/>
        </w:rPr>
        <w:t>en</w:t>
      </w:r>
      <w:proofErr w:type="spellEnd"/>
      <w:r w:rsidR="00B7136C" w:rsidRPr="003726B0">
        <w:rPr>
          <w:lang w:val="en-US"/>
        </w:rPr>
        <w:t xml:space="preserve"> Derechos Humanos) </w:t>
      </w:r>
      <w:r w:rsidRPr="003726B0">
        <w:rPr>
          <w:lang w:val="en-US"/>
        </w:rPr>
        <w:t xml:space="preserve">/ Ávila, </w:t>
      </w:r>
      <w:proofErr w:type="spellStart"/>
      <w:r w:rsidRPr="003726B0">
        <w:rPr>
          <w:lang w:val="en-US"/>
        </w:rPr>
        <w:t>Keymer</w:t>
      </w:r>
      <w:proofErr w:type="spellEnd"/>
      <w:r w:rsidRPr="003726B0">
        <w:rPr>
          <w:lang w:val="en-US"/>
        </w:rPr>
        <w:t xml:space="preserve"> </w:t>
      </w:r>
      <w:r w:rsidR="00B7136C" w:rsidRPr="003726B0">
        <w:rPr>
          <w:lang w:val="en-US"/>
        </w:rPr>
        <w:t>24.4.</w:t>
      </w:r>
      <w:r w:rsidRPr="003726B0">
        <w:rPr>
          <w:lang w:val="en-US"/>
        </w:rPr>
        <w:t xml:space="preserve">2019. </w:t>
      </w:r>
      <w:proofErr w:type="spellStart"/>
      <w:r w:rsidRPr="00B7136C">
        <w:rPr>
          <w:i/>
          <w:lang w:val="sv-SE"/>
        </w:rPr>
        <w:t>Uso</w:t>
      </w:r>
      <w:proofErr w:type="spellEnd"/>
      <w:r w:rsidRPr="00B7136C">
        <w:rPr>
          <w:i/>
          <w:lang w:val="sv-SE"/>
        </w:rPr>
        <w:t xml:space="preserve"> de la </w:t>
      </w:r>
      <w:proofErr w:type="spellStart"/>
      <w:r w:rsidRPr="00B7136C">
        <w:rPr>
          <w:i/>
          <w:lang w:val="sv-SE"/>
        </w:rPr>
        <w:t>Fuerza</w:t>
      </w:r>
      <w:proofErr w:type="spellEnd"/>
      <w:r w:rsidRPr="00B7136C">
        <w:rPr>
          <w:i/>
          <w:lang w:val="sv-SE"/>
        </w:rPr>
        <w:t xml:space="preserve"> </w:t>
      </w:r>
      <w:proofErr w:type="spellStart"/>
      <w:r w:rsidRPr="00B7136C">
        <w:rPr>
          <w:i/>
          <w:lang w:val="sv-SE"/>
        </w:rPr>
        <w:t>Pública</w:t>
      </w:r>
      <w:proofErr w:type="spellEnd"/>
      <w:r w:rsidRPr="00B7136C">
        <w:rPr>
          <w:i/>
          <w:lang w:val="sv-SE"/>
        </w:rPr>
        <w:t xml:space="preserve"> y </w:t>
      </w:r>
      <w:proofErr w:type="spellStart"/>
      <w:r w:rsidRPr="00B7136C">
        <w:rPr>
          <w:i/>
          <w:lang w:val="sv-SE"/>
        </w:rPr>
        <w:t>Derecho</w:t>
      </w:r>
      <w:proofErr w:type="spellEnd"/>
      <w:r w:rsidRPr="00B7136C">
        <w:rPr>
          <w:i/>
          <w:lang w:val="sv-SE"/>
        </w:rPr>
        <w:t xml:space="preserve"> a la Vida en Venezuela.</w:t>
      </w:r>
      <w:r w:rsidR="00B7136C">
        <w:rPr>
          <w:lang w:val="sv-SE"/>
        </w:rPr>
        <w:t xml:space="preserve"> </w:t>
      </w:r>
      <w:hyperlink r:id="rId23" w:history="1">
        <w:r w:rsidR="00B7136C" w:rsidRPr="00B7136C">
          <w:rPr>
            <w:rStyle w:val="Hyperlinkki"/>
          </w:rPr>
          <w:t>https://provea.org/publicaciones/investigaciones/investigacion-especial-uso-de-la-fuerza-publica-y-derecho-a-la-vida-en-venezuela/</w:t>
        </w:r>
      </w:hyperlink>
      <w:r w:rsidR="00B7136C" w:rsidRPr="00B7136C">
        <w:t xml:space="preserve"> (kä</w:t>
      </w:r>
      <w:r w:rsidR="00B7136C">
        <w:t>yty 14.11.2024).</w:t>
      </w:r>
    </w:p>
    <w:p w14:paraId="11F81CEE" w14:textId="77777777" w:rsidR="003168F9" w:rsidRPr="009F2E7F" w:rsidRDefault="00E12A8C" w:rsidP="00E12A8C">
      <w:pPr>
        <w:jc w:val="left"/>
        <w:rPr>
          <w:lang w:val="sv-SE"/>
        </w:rPr>
      </w:pPr>
      <w:proofErr w:type="spellStart"/>
      <w:r w:rsidRPr="009F2E7F">
        <w:rPr>
          <w:lang w:val="sv-SE"/>
        </w:rPr>
        <w:t>República</w:t>
      </w:r>
      <w:proofErr w:type="spellEnd"/>
      <w:r w:rsidRPr="009F2E7F">
        <w:rPr>
          <w:lang w:val="sv-SE"/>
        </w:rPr>
        <w:t xml:space="preserve"> </w:t>
      </w:r>
      <w:proofErr w:type="spellStart"/>
      <w:r w:rsidRPr="009F2E7F">
        <w:rPr>
          <w:lang w:val="sv-SE"/>
        </w:rPr>
        <w:t>Bolivariana</w:t>
      </w:r>
      <w:proofErr w:type="spellEnd"/>
      <w:r w:rsidR="00A05D81" w:rsidRPr="009F2E7F">
        <w:rPr>
          <w:lang w:val="sv-SE"/>
        </w:rPr>
        <w:t xml:space="preserve"> de Venezuela </w:t>
      </w:r>
    </w:p>
    <w:p w14:paraId="619970EE" w14:textId="09CD0A96" w:rsidR="00CF1D0E" w:rsidRPr="009F2E7F" w:rsidRDefault="00CF1D0E" w:rsidP="003168F9">
      <w:pPr>
        <w:ind w:left="720"/>
        <w:jc w:val="left"/>
      </w:pPr>
      <w:r w:rsidRPr="009F2E7F">
        <w:rPr>
          <w:lang w:val="sv-SE"/>
        </w:rPr>
        <w:t>17.9.2021.</w:t>
      </w:r>
      <w:r w:rsidR="009F2E7F" w:rsidRPr="009F2E7F">
        <w:rPr>
          <w:lang w:val="sv-SE"/>
        </w:rPr>
        <w:t xml:space="preserve"> </w:t>
      </w:r>
      <w:proofErr w:type="spellStart"/>
      <w:r w:rsidR="009F2E7F" w:rsidRPr="009F2E7F">
        <w:rPr>
          <w:i/>
          <w:lang w:val="sv-SE"/>
        </w:rPr>
        <w:t>Ley</w:t>
      </w:r>
      <w:proofErr w:type="spellEnd"/>
      <w:r w:rsidR="009F2E7F" w:rsidRPr="009F2E7F">
        <w:rPr>
          <w:i/>
          <w:lang w:val="sv-SE"/>
        </w:rPr>
        <w:t xml:space="preserve"> de </w:t>
      </w:r>
      <w:proofErr w:type="spellStart"/>
      <w:r w:rsidR="009F2E7F" w:rsidRPr="009F2E7F">
        <w:rPr>
          <w:i/>
          <w:lang w:val="sv-SE"/>
        </w:rPr>
        <w:t>Reforma</w:t>
      </w:r>
      <w:proofErr w:type="spellEnd"/>
      <w:r w:rsidR="009F2E7F" w:rsidRPr="009F2E7F">
        <w:rPr>
          <w:i/>
          <w:lang w:val="sv-SE"/>
        </w:rPr>
        <w:t xml:space="preserve"> del </w:t>
      </w:r>
      <w:proofErr w:type="spellStart"/>
      <w:r w:rsidR="009F2E7F" w:rsidRPr="009F2E7F">
        <w:rPr>
          <w:i/>
          <w:lang w:val="sv-SE"/>
        </w:rPr>
        <w:t>Decreto</w:t>
      </w:r>
      <w:proofErr w:type="spellEnd"/>
      <w:r w:rsidR="009F2E7F" w:rsidRPr="009F2E7F">
        <w:rPr>
          <w:i/>
          <w:lang w:val="sv-SE"/>
        </w:rPr>
        <w:t xml:space="preserve"> </w:t>
      </w:r>
      <w:proofErr w:type="spellStart"/>
      <w:r w:rsidR="009F2E7F" w:rsidRPr="009F2E7F">
        <w:rPr>
          <w:i/>
          <w:lang w:val="sv-SE"/>
        </w:rPr>
        <w:t>Con</w:t>
      </w:r>
      <w:proofErr w:type="spellEnd"/>
      <w:r w:rsidR="009F2E7F" w:rsidRPr="009F2E7F">
        <w:rPr>
          <w:i/>
          <w:lang w:val="sv-SE"/>
        </w:rPr>
        <w:t xml:space="preserve"> </w:t>
      </w:r>
      <w:proofErr w:type="spellStart"/>
      <w:r w:rsidR="009F2E7F" w:rsidRPr="009F2E7F">
        <w:rPr>
          <w:i/>
          <w:lang w:val="sv-SE"/>
        </w:rPr>
        <w:t>Rango</w:t>
      </w:r>
      <w:proofErr w:type="spellEnd"/>
      <w:r w:rsidR="009F2E7F" w:rsidRPr="009F2E7F">
        <w:rPr>
          <w:i/>
          <w:lang w:val="sv-SE"/>
        </w:rPr>
        <w:t xml:space="preserve">, Valor y </w:t>
      </w:r>
      <w:proofErr w:type="spellStart"/>
      <w:r w:rsidR="009F2E7F" w:rsidRPr="009F2E7F">
        <w:rPr>
          <w:i/>
          <w:lang w:val="sv-SE"/>
        </w:rPr>
        <w:t>Fuerza</w:t>
      </w:r>
      <w:proofErr w:type="spellEnd"/>
      <w:r w:rsidR="009F2E7F" w:rsidRPr="009F2E7F">
        <w:rPr>
          <w:i/>
          <w:lang w:val="sv-SE"/>
        </w:rPr>
        <w:t xml:space="preserve"> de </w:t>
      </w:r>
      <w:proofErr w:type="spellStart"/>
      <w:r w:rsidR="009F2E7F" w:rsidRPr="009F2E7F">
        <w:rPr>
          <w:i/>
          <w:lang w:val="sv-SE"/>
        </w:rPr>
        <w:t>Ley</w:t>
      </w:r>
      <w:proofErr w:type="spellEnd"/>
      <w:r w:rsidR="009F2E7F" w:rsidRPr="009F2E7F">
        <w:rPr>
          <w:i/>
          <w:lang w:val="sv-SE"/>
        </w:rPr>
        <w:t xml:space="preserve"> del </w:t>
      </w:r>
      <w:proofErr w:type="spellStart"/>
      <w:r w:rsidR="009F2E7F" w:rsidRPr="009F2E7F">
        <w:rPr>
          <w:i/>
          <w:lang w:val="sv-SE"/>
        </w:rPr>
        <w:t>Estatuto</w:t>
      </w:r>
      <w:proofErr w:type="spellEnd"/>
      <w:r w:rsidR="009F2E7F" w:rsidRPr="009F2E7F">
        <w:rPr>
          <w:i/>
          <w:lang w:val="sv-SE"/>
        </w:rPr>
        <w:t xml:space="preserve"> de la </w:t>
      </w:r>
      <w:proofErr w:type="spellStart"/>
      <w:r w:rsidR="009F2E7F" w:rsidRPr="009F2E7F">
        <w:rPr>
          <w:i/>
          <w:lang w:val="sv-SE"/>
        </w:rPr>
        <w:t>Función</w:t>
      </w:r>
      <w:proofErr w:type="spellEnd"/>
      <w:r w:rsidR="009F2E7F" w:rsidRPr="009F2E7F">
        <w:rPr>
          <w:i/>
          <w:lang w:val="sv-SE"/>
        </w:rPr>
        <w:t xml:space="preserve"> de la </w:t>
      </w:r>
      <w:proofErr w:type="spellStart"/>
      <w:r w:rsidR="009F2E7F" w:rsidRPr="009F2E7F">
        <w:rPr>
          <w:i/>
          <w:lang w:val="sv-SE"/>
        </w:rPr>
        <w:t>Policía</w:t>
      </w:r>
      <w:proofErr w:type="spellEnd"/>
      <w:r w:rsidR="009F2E7F" w:rsidRPr="009F2E7F">
        <w:rPr>
          <w:i/>
          <w:lang w:val="sv-SE"/>
        </w:rPr>
        <w:t xml:space="preserve"> de </w:t>
      </w:r>
      <w:proofErr w:type="spellStart"/>
      <w:r w:rsidR="009F2E7F" w:rsidRPr="009F2E7F">
        <w:rPr>
          <w:i/>
          <w:lang w:val="sv-SE"/>
        </w:rPr>
        <w:t>Investigación</w:t>
      </w:r>
      <w:proofErr w:type="spellEnd"/>
      <w:r w:rsidR="009F2E7F">
        <w:rPr>
          <w:i/>
          <w:lang w:val="sv-SE"/>
        </w:rPr>
        <w:t xml:space="preserve">. </w:t>
      </w:r>
      <w:hyperlink r:id="rId24" w:history="1">
        <w:r w:rsidR="00BD4711" w:rsidRPr="00887023">
          <w:rPr>
            <w:rStyle w:val="Hyperlinkki"/>
          </w:rPr>
          <w:t>https://www.alc.com.ve/wp-content/uploads/2024/09/Ley-del-Estatuto-de-la-Funcion-de-la-Policia-de-Investigacion-.pdf</w:t>
        </w:r>
      </w:hyperlink>
      <w:r w:rsidR="00BD4711" w:rsidRPr="00BD4711">
        <w:t xml:space="preserve"> </w:t>
      </w:r>
      <w:r w:rsidR="009F2E7F">
        <w:t>(käyty 15.11.2024).</w:t>
      </w:r>
    </w:p>
    <w:p w14:paraId="0F4A3555" w14:textId="4A27529F" w:rsidR="00E12A8C" w:rsidRDefault="00A05D81" w:rsidP="003168F9">
      <w:pPr>
        <w:ind w:left="720"/>
        <w:jc w:val="left"/>
      </w:pPr>
      <w:r w:rsidRPr="003726B0">
        <w:t xml:space="preserve">15.6.2012. </w:t>
      </w:r>
      <w:proofErr w:type="spellStart"/>
      <w:r w:rsidRPr="003726B0">
        <w:rPr>
          <w:i/>
        </w:rPr>
        <w:t>Ley</w:t>
      </w:r>
      <w:proofErr w:type="spellEnd"/>
      <w:r w:rsidRPr="003726B0">
        <w:rPr>
          <w:i/>
        </w:rPr>
        <w:t xml:space="preserve"> </w:t>
      </w:r>
      <w:proofErr w:type="spellStart"/>
      <w:r w:rsidRPr="003726B0">
        <w:rPr>
          <w:i/>
        </w:rPr>
        <w:t>Orgánica</w:t>
      </w:r>
      <w:proofErr w:type="spellEnd"/>
      <w:r w:rsidRPr="003726B0">
        <w:rPr>
          <w:i/>
        </w:rPr>
        <w:t xml:space="preserve"> Del </w:t>
      </w:r>
      <w:proofErr w:type="spellStart"/>
      <w:r w:rsidRPr="003726B0">
        <w:rPr>
          <w:i/>
        </w:rPr>
        <w:t>Servicio</w:t>
      </w:r>
      <w:proofErr w:type="spellEnd"/>
      <w:r w:rsidRPr="003726B0">
        <w:rPr>
          <w:i/>
        </w:rPr>
        <w:t xml:space="preserve"> De </w:t>
      </w:r>
      <w:proofErr w:type="spellStart"/>
      <w:r w:rsidRPr="003726B0">
        <w:rPr>
          <w:i/>
        </w:rPr>
        <w:t>Policía</w:t>
      </w:r>
      <w:proofErr w:type="spellEnd"/>
      <w:r w:rsidRPr="003726B0">
        <w:rPr>
          <w:i/>
        </w:rPr>
        <w:t xml:space="preserve"> De </w:t>
      </w:r>
      <w:proofErr w:type="spellStart"/>
      <w:r w:rsidRPr="003726B0">
        <w:rPr>
          <w:i/>
        </w:rPr>
        <w:t>Investigación</w:t>
      </w:r>
      <w:proofErr w:type="spellEnd"/>
      <w:r w:rsidRPr="003726B0">
        <w:rPr>
          <w:i/>
        </w:rPr>
        <w:t xml:space="preserve">, </w:t>
      </w:r>
      <w:proofErr w:type="spellStart"/>
      <w:r w:rsidRPr="003726B0">
        <w:rPr>
          <w:i/>
        </w:rPr>
        <w:t>El</w:t>
      </w:r>
      <w:proofErr w:type="spellEnd"/>
      <w:r w:rsidRPr="003726B0">
        <w:rPr>
          <w:i/>
        </w:rPr>
        <w:t xml:space="preserve"> </w:t>
      </w:r>
      <w:proofErr w:type="spellStart"/>
      <w:r w:rsidRPr="003726B0">
        <w:rPr>
          <w:i/>
        </w:rPr>
        <w:t>Cuerpo</w:t>
      </w:r>
      <w:proofErr w:type="spellEnd"/>
      <w:r w:rsidRPr="003726B0">
        <w:rPr>
          <w:i/>
        </w:rPr>
        <w:t xml:space="preserve"> De </w:t>
      </w:r>
      <w:proofErr w:type="spellStart"/>
      <w:r w:rsidRPr="003726B0">
        <w:rPr>
          <w:i/>
        </w:rPr>
        <w:t>Investigaciones</w:t>
      </w:r>
      <w:proofErr w:type="spellEnd"/>
      <w:r w:rsidRPr="003726B0">
        <w:rPr>
          <w:i/>
        </w:rPr>
        <w:t xml:space="preserve"> </w:t>
      </w:r>
      <w:proofErr w:type="spellStart"/>
      <w:r w:rsidRPr="003726B0">
        <w:rPr>
          <w:i/>
        </w:rPr>
        <w:t>Científicas</w:t>
      </w:r>
      <w:proofErr w:type="spellEnd"/>
      <w:r w:rsidRPr="003726B0">
        <w:rPr>
          <w:i/>
        </w:rPr>
        <w:t xml:space="preserve">, </w:t>
      </w:r>
      <w:proofErr w:type="spellStart"/>
      <w:r w:rsidRPr="003726B0">
        <w:rPr>
          <w:i/>
        </w:rPr>
        <w:t>Penales</w:t>
      </w:r>
      <w:proofErr w:type="spellEnd"/>
      <w:r w:rsidRPr="003726B0">
        <w:rPr>
          <w:i/>
        </w:rPr>
        <w:t xml:space="preserve"> Y </w:t>
      </w:r>
      <w:proofErr w:type="spellStart"/>
      <w:r w:rsidRPr="003726B0">
        <w:rPr>
          <w:i/>
        </w:rPr>
        <w:t>Criminalísticas</w:t>
      </w:r>
      <w:proofErr w:type="spellEnd"/>
      <w:r w:rsidRPr="003726B0">
        <w:rPr>
          <w:i/>
        </w:rPr>
        <w:t xml:space="preserve"> Y </w:t>
      </w:r>
      <w:proofErr w:type="spellStart"/>
      <w:r w:rsidRPr="003726B0">
        <w:rPr>
          <w:i/>
        </w:rPr>
        <w:t>El</w:t>
      </w:r>
      <w:proofErr w:type="spellEnd"/>
      <w:r w:rsidRPr="003726B0">
        <w:rPr>
          <w:i/>
        </w:rPr>
        <w:t xml:space="preserve"> </w:t>
      </w:r>
      <w:proofErr w:type="spellStart"/>
      <w:r w:rsidRPr="003726B0">
        <w:rPr>
          <w:i/>
        </w:rPr>
        <w:t>Servicio</w:t>
      </w:r>
      <w:proofErr w:type="spellEnd"/>
      <w:r w:rsidRPr="003726B0">
        <w:rPr>
          <w:i/>
        </w:rPr>
        <w:t xml:space="preserve"> </w:t>
      </w:r>
      <w:proofErr w:type="spellStart"/>
      <w:r w:rsidRPr="003726B0">
        <w:rPr>
          <w:i/>
        </w:rPr>
        <w:t>Nacional</w:t>
      </w:r>
      <w:proofErr w:type="spellEnd"/>
      <w:r w:rsidRPr="003726B0">
        <w:rPr>
          <w:i/>
        </w:rPr>
        <w:t xml:space="preserve"> De </w:t>
      </w:r>
      <w:proofErr w:type="spellStart"/>
      <w:r w:rsidRPr="003726B0">
        <w:rPr>
          <w:i/>
        </w:rPr>
        <w:t>Medicina</w:t>
      </w:r>
      <w:proofErr w:type="spellEnd"/>
      <w:r w:rsidRPr="003726B0">
        <w:rPr>
          <w:i/>
        </w:rPr>
        <w:t xml:space="preserve"> Y </w:t>
      </w:r>
      <w:proofErr w:type="spellStart"/>
      <w:r w:rsidRPr="003726B0">
        <w:rPr>
          <w:i/>
        </w:rPr>
        <w:t>Ciencias</w:t>
      </w:r>
      <w:proofErr w:type="spellEnd"/>
      <w:r w:rsidRPr="003726B0">
        <w:rPr>
          <w:i/>
        </w:rPr>
        <w:t xml:space="preserve"> </w:t>
      </w:r>
      <w:proofErr w:type="spellStart"/>
      <w:r w:rsidRPr="003726B0">
        <w:rPr>
          <w:i/>
        </w:rPr>
        <w:t>Forenses</w:t>
      </w:r>
      <w:proofErr w:type="spellEnd"/>
      <w:r w:rsidRPr="003726B0">
        <w:rPr>
          <w:i/>
        </w:rPr>
        <w:t xml:space="preserve">. </w:t>
      </w:r>
      <w:r w:rsidR="00894C55">
        <w:t xml:space="preserve">Saatavilla: </w:t>
      </w:r>
      <w:hyperlink r:id="rId25" w:history="1">
        <w:r w:rsidR="00496B7C" w:rsidRPr="00E94FAA">
          <w:rPr>
            <w:rStyle w:val="Hyperlinkki"/>
          </w:rPr>
          <w:t>https://www.studocu.com/latam/document/universidad-nacional-experimental-de-los-llanos-centrales-romulo-gallegos/medicina-general/02-ley-organica-del-servicio-de-policia-de-investigacion-el-cicpc-y-el-senamecf/57621145</w:t>
        </w:r>
      </w:hyperlink>
      <w:r w:rsidR="00E12A8C" w:rsidRPr="006B7B5C">
        <w:t xml:space="preserve"> </w:t>
      </w:r>
      <w:r w:rsidR="006B7B5C" w:rsidRPr="006B7B5C">
        <w:t>(kä</w:t>
      </w:r>
      <w:r w:rsidR="006B7B5C">
        <w:t>yty 13.11.2024).</w:t>
      </w:r>
    </w:p>
    <w:p w14:paraId="48D07161" w14:textId="194A6208" w:rsidR="003168F9" w:rsidRDefault="003168F9" w:rsidP="003168F9">
      <w:pPr>
        <w:ind w:left="720"/>
        <w:jc w:val="left"/>
      </w:pPr>
      <w:r w:rsidRPr="003168F9">
        <w:rPr>
          <w:lang w:val="sv-SE"/>
        </w:rPr>
        <w:t xml:space="preserve">30.12.1999. </w:t>
      </w:r>
      <w:proofErr w:type="spellStart"/>
      <w:r w:rsidRPr="00894C55">
        <w:rPr>
          <w:i/>
          <w:lang w:val="sv-SE"/>
        </w:rPr>
        <w:t>Constitución</w:t>
      </w:r>
      <w:proofErr w:type="spellEnd"/>
      <w:r w:rsidRPr="00894C55">
        <w:rPr>
          <w:i/>
          <w:lang w:val="sv-SE"/>
        </w:rPr>
        <w:t xml:space="preserve"> de la </w:t>
      </w:r>
      <w:proofErr w:type="spellStart"/>
      <w:r w:rsidRPr="00894C55">
        <w:rPr>
          <w:i/>
          <w:lang w:val="sv-SE"/>
        </w:rPr>
        <w:t>República</w:t>
      </w:r>
      <w:proofErr w:type="spellEnd"/>
      <w:r w:rsidRPr="00894C55">
        <w:rPr>
          <w:i/>
          <w:lang w:val="sv-SE"/>
        </w:rPr>
        <w:t xml:space="preserve"> </w:t>
      </w:r>
      <w:proofErr w:type="spellStart"/>
      <w:r w:rsidRPr="00894C55">
        <w:rPr>
          <w:i/>
          <w:lang w:val="sv-SE"/>
        </w:rPr>
        <w:t>Bolivariana</w:t>
      </w:r>
      <w:proofErr w:type="spellEnd"/>
      <w:r w:rsidRPr="00894C55">
        <w:rPr>
          <w:i/>
          <w:lang w:val="sv-SE"/>
        </w:rPr>
        <w:t xml:space="preserve"> de Venezuela </w:t>
      </w:r>
      <w:proofErr w:type="spellStart"/>
      <w:r w:rsidRPr="00894C55">
        <w:rPr>
          <w:i/>
          <w:lang w:val="sv-SE"/>
        </w:rPr>
        <w:t>Publicada</w:t>
      </w:r>
      <w:proofErr w:type="spellEnd"/>
      <w:r w:rsidRPr="00894C55">
        <w:rPr>
          <w:i/>
          <w:lang w:val="sv-SE"/>
        </w:rPr>
        <w:t xml:space="preserve"> en </w:t>
      </w:r>
      <w:proofErr w:type="spellStart"/>
      <w:r w:rsidRPr="00894C55">
        <w:rPr>
          <w:i/>
          <w:lang w:val="sv-SE"/>
        </w:rPr>
        <w:t>Gaceta</w:t>
      </w:r>
      <w:proofErr w:type="spellEnd"/>
      <w:r w:rsidRPr="00894C55">
        <w:rPr>
          <w:i/>
          <w:lang w:val="sv-SE"/>
        </w:rPr>
        <w:t xml:space="preserve"> </w:t>
      </w:r>
      <w:proofErr w:type="spellStart"/>
      <w:r w:rsidRPr="00894C55">
        <w:rPr>
          <w:i/>
          <w:lang w:val="sv-SE"/>
        </w:rPr>
        <w:t>Oficial</w:t>
      </w:r>
      <w:proofErr w:type="spellEnd"/>
      <w:r w:rsidRPr="00894C55">
        <w:rPr>
          <w:i/>
          <w:lang w:val="sv-SE"/>
        </w:rPr>
        <w:t xml:space="preserve"> del </w:t>
      </w:r>
      <w:proofErr w:type="spellStart"/>
      <w:r w:rsidRPr="00894C55">
        <w:rPr>
          <w:i/>
          <w:lang w:val="sv-SE"/>
        </w:rPr>
        <w:t>jueves</w:t>
      </w:r>
      <w:proofErr w:type="spellEnd"/>
      <w:r w:rsidRPr="00894C55">
        <w:rPr>
          <w:i/>
          <w:lang w:val="sv-SE"/>
        </w:rPr>
        <w:t xml:space="preserve"> 30 de </w:t>
      </w:r>
      <w:proofErr w:type="spellStart"/>
      <w:r w:rsidRPr="00894C55">
        <w:rPr>
          <w:i/>
          <w:lang w:val="sv-SE"/>
        </w:rPr>
        <w:t>diciembre</w:t>
      </w:r>
      <w:proofErr w:type="spellEnd"/>
      <w:r w:rsidRPr="00894C55">
        <w:rPr>
          <w:i/>
          <w:lang w:val="sv-SE"/>
        </w:rPr>
        <w:t xml:space="preserve"> de 1999, N° </w:t>
      </w:r>
      <w:proofErr w:type="gramStart"/>
      <w:r w:rsidRPr="00894C55">
        <w:rPr>
          <w:i/>
          <w:lang w:val="sv-SE"/>
        </w:rPr>
        <w:t>36.860</w:t>
      </w:r>
      <w:proofErr w:type="gramEnd"/>
      <w:r w:rsidRPr="00894C55">
        <w:rPr>
          <w:i/>
          <w:lang w:val="sv-SE"/>
        </w:rPr>
        <w:t xml:space="preserve">. </w:t>
      </w:r>
      <w:hyperlink r:id="rId26" w:history="1">
        <w:r w:rsidR="00894C55" w:rsidRPr="00894C55">
          <w:rPr>
            <w:rStyle w:val="Hyperlinkki"/>
          </w:rPr>
          <w:t>https://www.asambleanacional.gob.ve/storage/documentos/botones/constitucion-nacional-20191205135853.PDF</w:t>
        </w:r>
      </w:hyperlink>
      <w:r w:rsidR="00894C55" w:rsidRPr="00894C55">
        <w:t xml:space="preserve"> (käyty 14.11.2024).</w:t>
      </w:r>
    </w:p>
    <w:p w14:paraId="559F9489" w14:textId="4A58B69E" w:rsidR="00091D92" w:rsidRPr="003726B0" w:rsidRDefault="00091D92" w:rsidP="00091D92">
      <w:pPr>
        <w:jc w:val="left"/>
        <w:rPr>
          <w:lang w:val="sv-SE"/>
        </w:rPr>
      </w:pPr>
      <w:proofErr w:type="spellStart"/>
      <w:r w:rsidRPr="00091D92">
        <w:rPr>
          <w:lang w:val="sv-SE"/>
        </w:rPr>
        <w:t>Rep</w:t>
      </w:r>
      <w:r w:rsidR="00414329">
        <w:rPr>
          <w:lang w:val="sv-SE"/>
        </w:rPr>
        <w:t>úb</w:t>
      </w:r>
      <w:r w:rsidRPr="00091D92">
        <w:rPr>
          <w:lang w:val="sv-SE"/>
        </w:rPr>
        <w:t>lica</w:t>
      </w:r>
      <w:proofErr w:type="spellEnd"/>
      <w:r w:rsidRPr="00091D92">
        <w:rPr>
          <w:lang w:val="sv-SE"/>
        </w:rPr>
        <w:t xml:space="preserve"> </w:t>
      </w:r>
      <w:proofErr w:type="spellStart"/>
      <w:r w:rsidRPr="00091D92">
        <w:rPr>
          <w:lang w:val="sv-SE"/>
        </w:rPr>
        <w:t>Bolivariana</w:t>
      </w:r>
      <w:proofErr w:type="spellEnd"/>
      <w:r w:rsidRPr="00091D92">
        <w:rPr>
          <w:lang w:val="sv-SE"/>
        </w:rPr>
        <w:t xml:space="preserve"> de Venezuela / </w:t>
      </w:r>
      <w:proofErr w:type="spellStart"/>
      <w:r w:rsidRPr="00091D92">
        <w:rPr>
          <w:lang w:val="sv-SE"/>
        </w:rPr>
        <w:t>Ministerio</w:t>
      </w:r>
      <w:proofErr w:type="spellEnd"/>
      <w:r w:rsidRPr="00091D92">
        <w:rPr>
          <w:lang w:val="sv-SE"/>
        </w:rPr>
        <w:t xml:space="preserve"> del </w:t>
      </w:r>
      <w:proofErr w:type="spellStart"/>
      <w:r w:rsidRPr="00091D92">
        <w:rPr>
          <w:lang w:val="sv-SE"/>
        </w:rPr>
        <w:t>Poder</w:t>
      </w:r>
      <w:proofErr w:type="spellEnd"/>
      <w:r w:rsidRPr="00091D92">
        <w:rPr>
          <w:lang w:val="sv-SE"/>
        </w:rPr>
        <w:t xml:space="preserve"> </w:t>
      </w:r>
      <w:proofErr w:type="spellStart"/>
      <w:r w:rsidRPr="00091D92">
        <w:rPr>
          <w:lang w:val="sv-SE"/>
        </w:rPr>
        <w:t>Popular</w:t>
      </w:r>
      <w:proofErr w:type="spellEnd"/>
      <w:r w:rsidRPr="00091D92">
        <w:rPr>
          <w:lang w:val="sv-SE"/>
        </w:rPr>
        <w:t xml:space="preserve"> para </w:t>
      </w:r>
      <w:proofErr w:type="spellStart"/>
      <w:r w:rsidRPr="00091D92">
        <w:rPr>
          <w:lang w:val="sv-SE"/>
        </w:rPr>
        <w:t>las</w:t>
      </w:r>
      <w:proofErr w:type="spellEnd"/>
      <w:r w:rsidRPr="00091D92">
        <w:rPr>
          <w:lang w:val="sv-SE"/>
        </w:rPr>
        <w:t xml:space="preserve"> </w:t>
      </w:r>
      <w:proofErr w:type="spellStart"/>
      <w:r w:rsidRPr="00091D92">
        <w:rPr>
          <w:lang w:val="sv-SE"/>
        </w:rPr>
        <w:t>Relaciones</w:t>
      </w:r>
      <w:proofErr w:type="spellEnd"/>
      <w:r w:rsidRPr="00091D92">
        <w:rPr>
          <w:lang w:val="sv-SE"/>
        </w:rPr>
        <w:t xml:space="preserve"> </w:t>
      </w:r>
      <w:proofErr w:type="spellStart"/>
      <w:r w:rsidRPr="00091D92">
        <w:rPr>
          <w:lang w:val="sv-SE"/>
        </w:rPr>
        <w:t>Interiores</w:t>
      </w:r>
      <w:proofErr w:type="spellEnd"/>
      <w:r w:rsidRPr="00091D92">
        <w:rPr>
          <w:lang w:val="sv-SE"/>
        </w:rPr>
        <w:t xml:space="preserve"> </w:t>
      </w:r>
      <w:proofErr w:type="spellStart"/>
      <w:r w:rsidRPr="00091D92">
        <w:rPr>
          <w:lang w:val="sv-SE"/>
        </w:rPr>
        <w:t>Justicia</w:t>
      </w:r>
      <w:proofErr w:type="spellEnd"/>
      <w:r w:rsidRPr="00091D92">
        <w:rPr>
          <w:lang w:val="sv-SE"/>
        </w:rPr>
        <w:t xml:space="preserve"> y Paz / </w:t>
      </w:r>
      <w:proofErr w:type="spellStart"/>
      <w:r w:rsidRPr="00091D92">
        <w:rPr>
          <w:lang w:val="sv-SE"/>
        </w:rPr>
        <w:t>Ministerio</w:t>
      </w:r>
      <w:proofErr w:type="spellEnd"/>
      <w:r w:rsidRPr="00091D92">
        <w:rPr>
          <w:lang w:val="sv-SE"/>
        </w:rPr>
        <w:t xml:space="preserve"> del </w:t>
      </w:r>
      <w:proofErr w:type="spellStart"/>
      <w:r w:rsidRPr="00091D92">
        <w:rPr>
          <w:lang w:val="sv-SE"/>
        </w:rPr>
        <w:t>Poder</w:t>
      </w:r>
      <w:proofErr w:type="spellEnd"/>
      <w:r w:rsidRPr="00091D92">
        <w:rPr>
          <w:lang w:val="sv-SE"/>
        </w:rPr>
        <w:t xml:space="preserve"> </w:t>
      </w:r>
      <w:proofErr w:type="spellStart"/>
      <w:r w:rsidRPr="00091D92">
        <w:rPr>
          <w:lang w:val="sv-SE"/>
        </w:rPr>
        <w:t>Popular</w:t>
      </w:r>
      <w:proofErr w:type="spellEnd"/>
      <w:r w:rsidRPr="00091D92">
        <w:rPr>
          <w:lang w:val="sv-SE"/>
        </w:rPr>
        <w:t xml:space="preserve"> para la </w:t>
      </w:r>
      <w:proofErr w:type="spellStart"/>
      <w:r w:rsidRPr="00091D92">
        <w:rPr>
          <w:lang w:val="sv-SE"/>
        </w:rPr>
        <w:t>Educación</w:t>
      </w:r>
      <w:proofErr w:type="spellEnd"/>
      <w:r w:rsidRPr="00091D92">
        <w:rPr>
          <w:lang w:val="sv-SE"/>
        </w:rPr>
        <w:t xml:space="preserve"> </w:t>
      </w:r>
      <w:proofErr w:type="spellStart"/>
      <w:r w:rsidRPr="00091D92">
        <w:rPr>
          <w:lang w:val="sv-SE"/>
        </w:rPr>
        <w:t>Universitaria</w:t>
      </w:r>
      <w:proofErr w:type="spellEnd"/>
      <w:r w:rsidRPr="00091D92">
        <w:rPr>
          <w:lang w:val="sv-SE"/>
        </w:rPr>
        <w:t xml:space="preserve"> / </w:t>
      </w:r>
      <w:proofErr w:type="spellStart"/>
      <w:r w:rsidRPr="00091D92">
        <w:rPr>
          <w:lang w:val="sv-SE"/>
        </w:rPr>
        <w:t>Universidad</w:t>
      </w:r>
      <w:proofErr w:type="spellEnd"/>
      <w:r w:rsidRPr="00091D92">
        <w:rPr>
          <w:lang w:val="sv-SE"/>
        </w:rPr>
        <w:t xml:space="preserve"> </w:t>
      </w:r>
      <w:proofErr w:type="spellStart"/>
      <w:r w:rsidRPr="00091D92">
        <w:rPr>
          <w:lang w:val="sv-SE"/>
        </w:rPr>
        <w:t>Nacional</w:t>
      </w:r>
      <w:proofErr w:type="spellEnd"/>
      <w:r w:rsidRPr="00091D92">
        <w:rPr>
          <w:lang w:val="sv-SE"/>
        </w:rPr>
        <w:t xml:space="preserve"> Experimental </w:t>
      </w:r>
      <w:r>
        <w:rPr>
          <w:lang w:val="sv-SE"/>
        </w:rPr>
        <w:t>d</w:t>
      </w:r>
      <w:r w:rsidRPr="00091D92">
        <w:rPr>
          <w:lang w:val="sv-SE"/>
        </w:rPr>
        <w:t xml:space="preserve">e </w:t>
      </w:r>
      <w:r>
        <w:rPr>
          <w:lang w:val="sv-SE"/>
        </w:rPr>
        <w:t>l</w:t>
      </w:r>
      <w:r w:rsidRPr="00091D92">
        <w:rPr>
          <w:lang w:val="sv-SE"/>
        </w:rPr>
        <w:t xml:space="preserve">a </w:t>
      </w:r>
      <w:proofErr w:type="spellStart"/>
      <w:r w:rsidRPr="00091D92">
        <w:rPr>
          <w:lang w:val="sv-SE"/>
        </w:rPr>
        <w:t>Seguridad</w:t>
      </w:r>
      <w:proofErr w:type="spellEnd"/>
      <w:r w:rsidRPr="00091D92">
        <w:rPr>
          <w:lang w:val="sv-SE"/>
        </w:rPr>
        <w:t xml:space="preserve"> / </w:t>
      </w:r>
      <w:proofErr w:type="spellStart"/>
      <w:r w:rsidRPr="00091D92">
        <w:rPr>
          <w:lang w:val="sv-SE"/>
        </w:rPr>
        <w:t>Cefounes</w:t>
      </w:r>
      <w:proofErr w:type="spellEnd"/>
      <w:r w:rsidRPr="00091D92">
        <w:rPr>
          <w:lang w:val="sv-SE"/>
        </w:rPr>
        <w:t>-Lara</w:t>
      </w:r>
      <w:r>
        <w:rPr>
          <w:lang w:val="sv-SE"/>
        </w:rPr>
        <w:t xml:space="preserve"> / </w:t>
      </w:r>
      <w:proofErr w:type="spellStart"/>
      <w:r>
        <w:rPr>
          <w:lang w:val="sv-SE"/>
        </w:rPr>
        <w:t>Molina</w:t>
      </w:r>
      <w:proofErr w:type="spellEnd"/>
      <w:r>
        <w:rPr>
          <w:lang w:val="sv-SE"/>
        </w:rPr>
        <w:t xml:space="preserve">, </w:t>
      </w:r>
      <w:proofErr w:type="spellStart"/>
      <w:r>
        <w:rPr>
          <w:lang w:val="sv-SE"/>
        </w:rPr>
        <w:t>Germary</w:t>
      </w:r>
      <w:proofErr w:type="spellEnd"/>
      <w:r>
        <w:rPr>
          <w:lang w:val="sv-SE"/>
        </w:rPr>
        <w:t xml:space="preserve"> 4/2015. </w:t>
      </w:r>
      <w:proofErr w:type="spellStart"/>
      <w:r w:rsidRPr="00091D92">
        <w:rPr>
          <w:i/>
          <w:lang w:val="sv-SE"/>
        </w:rPr>
        <w:t>Analisis</w:t>
      </w:r>
      <w:proofErr w:type="spellEnd"/>
      <w:r w:rsidRPr="00091D92">
        <w:rPr>
          <w:i/>
          <w:lang w:val="sv-SE"/>
        </w:rPr>
        <w:t xml:space="preserve"> </w:t>
      </w:r>
      <w:r>
        <w:rPr>
          <w:i/>
          <w:lang w:val="sv-SE"/>
        </w:rPr>
        <w:t>d</w:t>
      </w:r>
      <w:r w:rsidRPr="00091D92">
        <w:rPr>
          <w:i/>
          <w:lang w:val="sv-SE"/>
        </w:rPr>
        <w:t xml:space="preserve">e </w:t>
      </w:r>
      <w:r>
        <w:rPr>
          <w:i/>
          <w:lang w:val="sv-SE"/>
        </w:rPr>
        <w:t>l</w:t>
      </w:r>
      <w:r w:rsidRPr="00091D92">
        <w:rPr>
          <w:i/>
          <w:lang w:val="sv-SE"/>
        </w:rPr>
        <w:t xml:space="preserve">a </w:t>
      </w:r>
      <w:proofErr w:type="spellStart"/>
      <w:r w:rsidRPr="00091D92">
        <w:rPr>
          <w:i/>
          <w:lang w:val="sv-SE"/>
        </w:rPr>
        <w:t>Estructura</w:t>
      </w:r>
      <w:proofErr w:type="spellEnd"/>
      <w:r w:rsidRPr="00091D92">
        <w:rPr>
          <w:i/>
          <w:lang w:val="sv-SE"/>
        </w:rPr>
        <w:t xml:space="preserve"> </w:t>
      </w:r>
      <w:proofErr w:type="spellStart"/>
      <w:r w:rsidRPr="00091D92">
        <w:rPr>
          <w:i/>
          <w:lang w:val="sv-SE"/>
        </w:rPr>
        <w:t>Organizacional</w:t>
      </w:r>
      <w:proofErr w:type="spellEnd"/>
      <w:r w:rsidRPr="00091D92">
        <w:rPr>
          <w:i/>
          <w:lang w:val="sv-SE"/>
        </w:rPr>
        <w:t xml:space="preserve"> </w:t>
      </w:r>
      <w:r>
        <w:rPr>
          <w:i/>
          <w:lang w:val="sv-SE"/>
        </w:rPr>
        <w:t>d</w:t>
      </w:r>
      <w:r w:rsidRPr="00091D92">
        <w:rPr>
          <w:i/>
          <w:lang w:val="sv-SE"/>
        </w:rPr>
        <w:t xml:space="preserve">el </w:t>
      </w:r>
      <w:proofErr w:type="spellStart"/>
      <w:r w:rsidRPr="00091D92">
        <w:rPr>
          <w:i/>
          <w:lang w:val="sv-SE"/>
        </w:rPr>
        <w:t>Cicpc</w:t>
      </w:r>
      <w:proofErr w:type="spellEnd"/>
      <w:r w:rsidRPr="00091D92">
        <w:rPr>
          <w:i/>
          <w:lang w:val="sv-SE"/>
        </w:rPr>
        <w:t xml:space="preserve">. </w:t>
      </w:r>
      <w:proofErr w:type="spellStart"/>
      <w:r w:rsidRPr="003726B0">
        <w:rPr>
          <w:lang w:val="sv-SE"/>
        </w:rPr>
        <w:t>Saatavilla</w:t>
      </w:r>
      <w:proofErr w:type="spellEnd"/>
      <w:r w:rsidRPr="003726B0">
        <w:rPr>
          <w:lang w:val="sv-SE"/>
        </w:rPr>
        <w:t xml:space="preserve">: </w:t>
      </w:r>
      <w:hyperlink r:id="rId27" w:history="1">
        <w:r w:rsidRPr="003726B0">
          <w:rPr>
            <w:rStyle w:val="Hyperlinkki"/>
            <w:lang w:val="sv-SE"/>
          </w:rPr>
          <w:t>https://www.scribd.com/document/268651543/Analisis-de-La-Estructura-Organizacional-Del-Cicpc</w:t>
        </w:r>
      </w:hyperlink>
      <w:r w:rsidRPr="003726B0">
        <w:rPr>
          <w:lang w:val="sv-SE"/>
        </w:rPr>
        <w:t xml:space="preserve"> (</w:t>
      </w:r>
      <w:proofErr w:type="spellStart"/>
      <w:r w:rsidRPr="003726B0">
        <w:rPr>
          <w:lang w:val="sv-SE"/>
        </w:rPr>
        <w:t>käyty</w:t>
      </w:r>
      <w:proofErr w:type="spellEnd"/>
      <w:r w:rsidRPr="003726B0">
        <w:rPr>
          <w:lang w:val="sv-SE"/>
        </w:rPr>
        <w:t xml:space="preserve"> 15.11.2024).</w:t>
      </w:r>
    </w:p>
    <w:p w14:paraId="2CECB39B" w14:textId="1A1BC136" w:rsidR="00E12A8C" w:rsidRDefault="00E12A8C" w:rsidP="00894C55">
      <w:pPr>
        <w:jc w:val="left"/>
      </w:pPr>
      <w:r w:rsidRPr="00681B11">
        <w:rPr>
          <w:lang w:val="en-US"/>
        </w:rPr>
        <w:t>Reuters 13.11.2019.</w:t>
      </w:r>
      <w:r w:rsidR="006B7B5C" w:rsidRPr="00681B11">
        <w:rPr>
          <w:lang w:val="en-US"/>
        </w:rPr>
        <w:t xml:space="preserve"> </w:t>
      </w:r>
      <w:r w:rsidR="006B7B5C" w:rsidRPr="006B7B5C">
        <w:rPr>
          <w:i/>
          <w:lang w:val="en-US"/>
        </w:rPr>
        <w:t>A Reuters Special Report: Elite police force spreads terror in the barrios of Venezuela.</w:t>
      </w:r>
      <w:r w:rsidRPr="00B0395D">
        <w:rPr>
          <w:lang w:val="en-US"/>
        </w:rPr>
        <w:t xml:space="preserve"> </w:t>
      </w:r>
      <w:hyperlink r:id="rId28" w:history="1">
        <w:r w:rsidRPr="006B7B5C">
          <w:rPr>
            <w:rStyle w:val="Hyperlinkki"/>
          </w:rPr>
          <w:t>https://www.reuters.com/investigates/special-report/venezuela-violence-police/</w:t>
        </w:r>
      </w:hyperlink>
      <w:r w:rsidRPr="006B7B5C">
        <w:t xml:space="preserve"> </w:t>
      </w:r>
      <w:r w:rsidR="006B7B5C" w:rsidRPr="006B7B5C">
        <w:t>(kä</w:t>
      </w:r>
      <w:r w:rsidR="006B7B5C">
        <w:t>yty 14.11.2024).</w:t>
      </w:r>
    </w:p>
    <w:p w14:paraId="35CFE83E" w14:textId="77777777" w:rsidR="00BD4711" w:rsidRPr="006B7B5C" w:rsidRDefault="00BD4711" w:rsidP="00894C55">
      <w:pPr>
        <w:jc w:val="left"/>
      </w:pPr>
    </w:p>
    <w:p w14:paraId="0FB2FDDB" w14:textId="3F420C4B" w:rsidR="00E12A8C" w:rsidRDefault="003726B0" w:rsidP="00E12A8C">
      <w:pPr>
        <w:jc w:val="left"/>
        <w:rPr>
          <w:lang w:val="en-US"/>
        </w:rPr>
      </w:pPr>
      <w:r>
        <w:rPr>
          <w:lang w:val="en-US"/>
        </w:rPr>
        <w:lastRenderedPageBreak/>
        <w:t>UN HRC</w:t>
      </w:r>
      <w:r w:rsidR="00E12A8C" w:rsidRPr="00637AF3">
        <w:rPr>
          <w:lang w:val="en-US"/>
        </w:rPr>
        <w:t xml:space="preserve"> (United Nations Human Rights Council) </w:t>
      </w:r>
    </w:p>
    <w:p w14:paraId="60C1650B" w14:textId="77777777" w:rsidR="00E12A8C" w:rsidRPr="009D6F69" w:rsidRDefault="00E12A8C" w:rsidP="00E12A8C">
      <w:pPr>
        <w:ind w:left="720"/>
        <w:jc w:val="left"/>
      </w:pPr>
      <w:r>
        <w:rPr>
          <w:lang w:val="en-US"/>
        </w:rPr>
        <w:t xml:space="preserve">14.10.2024. </w:t>
      </w:r>
      <w:r w:rsidRPr="009D6F69">
        <w:rPr>
          <w:i/>
          <w:lang w:val="en-US"/>
        </w:rPr>
        <w:t xml:space="preserve">Detailed findings of the independent international fact-finding mission on the Bolivarian Republic of Venezuela*. </w:t>
      </w:r>
      <w:hyperlink r:id="rId29" w:history="1">
        <w:r w:rsidRPr="009D6F69">
          <w:rPr>
            <w:rStyle w:val="Hyperlinkki"/>
          </w:rPr>
          <w:t>https://www.ohchr.org/sites/default/files/documents/hrbodies/hrcouncil/sessions-regular/session57/advance-versions/a-hrc-57-crp-5-en.pdf</w:t>
        </w:r>
      </w:hyperlink>
      <w:r w:rsidRPr="009D6F69">
        <w:t xml:space="preserve"> (kä</w:t>
      </w:r>
      <w:r>
        <w:t>yty 13.11.2024).</w:t>
      </w:r>
    </w:p>
    <w:p w14:paraId="764E3075" w14:textId="77777777" w:rsidR="00E12A8C" w:rsidRDefault="00E12A8C" w:rsidP="00E12A8C">
      <w:pPr>
        <w:ind w:left="720"/>
        <w:jc w:val="left"/>
      </w:pPr>
      <w:r w:rsidRPr="00637AF3">
        <w:rPr>
          <w:lang w:val="en-US"/>
        </w:rPr>
        <w:t xml:space="preserve">16.9.2021. </w:t>
      </w:r>
      <w:r w:rsidRPr="00EB02C8">
        <w:rPr>
          <w:i/>
          <w:lang w:val="en-US"/>
        </w:rPr>
        <w:t>Detailed findings of the independent international fact</w:t>
      </w:r>
      <w:r>
        <w:rPr>
          <w:i/>
          <w:lang w:val="en-US"/>
        </w:rPr>
        <w:t>-</w:t>
      </w:r>
      <w:r w:rsidRPr="00EB02C8">
        <w:rPr>
          <w:i/>
          <w:lang w:val="en-US"/>
        </w:rPr>
        <w:t>finding mission on the Bolivarian Republic of Venezuela</w:t>
      </w:r>
      <w:r>
        <w:rPr>
          <w:i/>
          <w:lang w:val="en-US"/>
        </w:rPr>
        <w:t>*</w:t>
      </w:r>
      <w:r w:rsidRPr="00EB02C8">
        <w:rPr>
          <w:i/>
          <w:lang w:val="en-US"/>
        </w:rPr>
        <w:t>.</w:t>
      </w:r>
      <w:r>
        <w:rPr>
          <w:lang w:val="en-US"/>
        </w:rPr>
        <w:t xml:space="preserve"> </w:t>
      </w:r>
      <w:hyperlink r:id="rId30" w:history="1">
        <w:r w:rsidRPr="00EB02C8">
          <w:rPr>
            <w:rStyle w:val="Hyperlinkki"/>
          </w:rPr>
          <w:t>https://www.ohchr.org/sites/default/files/Documents/HRBodies/HRCouncil/FFMV/A-HRC-48-CRP.5_EN.pdf</w:t>
        </w:r>
      </w:hyperlink>
      <w:r w:rsidRPr="00EB02C8">
        <w:t xml:space="preserve"> (kä</w:t>
      </w:r>
      <w:r>
        <w:t>yty 12.11.2024).</w:t>
      </w:r>
    </w:p>
    <w:p w14:paraId="30A5F410" w14:textId="77777777" w:rsidR="00E12A8C" w:rsidRPr="008B67EF" w:rsidRDefault="00E12A8C" w:rsidP="00E12A8C">
      <w:pPr>
        <w:ind w:left="720"/>
        <w:jc w:val="left"/>
      </w:pPr>
      <w:r w:rsidRPr="008B67EF">
        <w:rPr>
          <w:lang w:val="en-US"/>
        </w:rPr>
        <w:t xml:space="preserve">15.9.2020. </w:t>
      </w:r>
      <w:r w:rsidRPr="008B67EF">
        <w:rPr>
          <w:i/>
          <w:lang w:val="en-US"/>
        </w:rPr>
        <w:t xml:space="preserve">Detailed findings of the independent international factfinding mission on the Bolivarian Republic of Venezuela*. </w:t>
      </w:r>
      <w:hyperlink r:id="rId31" w:history="1">
        <w:r w:rsidRPr="008B67EF">
          <w:rPr>
            <w:rStyle w:val="Hyperlinkki"/>
          </w:rPr>
          <w:t>https://www.ohchr.org/sites/default/files/Documents/HRBodies/HRCouncil/FFMV/A_HRC_45_CRP.11.pdf</w:t>
        </w:r>
      </w:hyperlink>
      <w:r w:rsidRPr="008B67EF">
        <w:t xml:space="preserve"> (kä</w:t>
      </w:r>
      <w:r>
        <w:t>yty 14.11.2024).</w:t>
      </w:r>
    </w:p>
    <w:p w14:paraId="0EB27C75" w14:textId="1CB1373C" w:rsidR="00E12A8C" w:rsidRPr="00BE2BE4" w:rsidRDefault="00E12A8C" w:rsidP="00BE2BE4">
      <w:pPr>
        <w:jc w:val="left"/>
        <w:rPr>
          <w:lang w:val="en-US"/>
        </w:rPr>
      </w:pPr>
      <w:r w:rsidRPr="009C59BA">
        <w:rPr>
          <w:lang w:val="en-US"/>
        </w:rPr>
        <w:t xml:space="preserve">USDOS (United States Department of State) </w:t>
      </w:r>
      <w:r w:rsidRPr="00D04892">
        <w:rPr>
          <w:lang w:val="en-US"/>
        </w:rPr>
        <w:t xml:space="preserve">23.4.2024. </w:t>
      </w:r>
      <w:r w:rsidRPr="00670190">
        <w:rPr>
          <w:i/>
          <w:lang w:val="en-US"/>
        </w:rPr>
        <w:t xml:space="preserve">Venezuela 2023 Human Rights Report. </w:t>
      </w:r>
      <w:hyperlink r:id="rId32" w:history="1">
        <w:r w:rsidRPr="003726B0">
          <w:rPr>
            <w:rStyle w:val="Hyperlinkki"/>
            <w:lang w:val="en-US"/>
          </w:rPr>
          <w:t>https://www.state.gov/wp-content/uploads/2024/02/528267_VENEZUELA-2023-HUMAN-RIGHTS-REPORT.pdf</w:t>
        </w:r>
      </w:hyperlink>
      <w:r w:rsidRPr="003726B0">
        <w:rPr>
          <w:lang w:val="en-US"/>
        </w:rPr>
        <w:t xml:space="preserve"> (</w:t>
      </w:r>
      <w:proofErr w:type="spellStart"/>
      <w:r w:rsidRPr="003726B0">
        <w:rPr>
          <w:lang w:val="en-US"/>
        </w:rPr>
        <w:t>käyty</w:t>
      </w:r>
      <w:proofErr w:type="spellEnd"/>
      <w:r w:rsidRPr="003726B0">
        <w:rPr>
          <w:lang w:val="en-US"/>
        </w:rPr>
        <w:t xml:space="preserve"> 12.11.2024).</w:t>
      </w:r>
    </w:p>
    <w:p w14:paraId="4ABCA1DA" w14:textId="7876EF54" w:rsidR="00E12A8C" w:rsidRPr="00DC2274" w:rsidRDefault="008167F3" w:rsidP="009366B6">
      <w:pPr>
        <w:pStyle w:val="Alaviitteenteksti"/>
        <w:jc w:val="left"/>
        <w:rPr>
          <w:color w:val="000000" w:themeColor="text1"/>
        </w:rPr>
      </w:pPr>
      <w:r w:rsidRPr="008167F3">
        <w:rPr>
          <w:color w:val="000000" w:themeColor="text1"/>
          <w:lang w:val="en-US"/>
        </w:rPr>
        <w:t xml:space="preserve">WOLA </w:t>
      </w:r>
      <w:r>
        <w:rPr>
          <w:color w:val="000000" w:themeColor="text1"/>
          <w:lang w:val="en-US"/>
        </w:rPr>
        <w:t xml:space="preserve">(Washington Office on Latin America) </w:t>
      </w:r>
      <w:r w:rsidRPr="008167F3">
        <w:rPr>
          <w:color w:val="000000" w:themeColor="text1"/>
          <w:lang w:val="en-US"/>
        </w:rPr>
        <w:t>/ Hanson</w:t>
      </w:r>
      <w:r>
        <w:rPr>
          <w:color w:val="000000" w:themeColor="text1"/>
          <w:lang w:val="en-US"/>
        </w:rPr>
        <w:t>, Rebecca</w:t>
      </w:r>
      <w:r w:rsidRPr="008167F3">
        <w:rPr>
          <w:color w:val="000000" w:themeColor="text1"/>
          <w:lang w:val="en-US"/>
        </w:rPr>
        <w:t xml:space="preserve"> 24.11.2014. </w:t>
      </w:r>
      <w:r w:rsidRPr="009366B6">
        <w:rPr>
          <w:i/>
          <w:color w:val="000000" w:themeColor="text1"/>
          <w:lang w:val="en-US"/>
        </w:rPr>
        <w:t xml:space="preserve">Venezuela’s “Police Revolution”: Rolling Back or Pushing Forward </w:t>
      </w:r>
      <w:proofErr w:type="gramStart"/>
      <w:r w:rsidRPr="009366B6">
        <w:rPr>
          <w:i/>
          <w:color w:val="000000" w:themeColor="text1"/>
          <w:lang w:val="en-US"/>
        </w:rPr>
        <w:t>Reform?</w:t>
      </w:r>
      <w:r w:rsidR="009366B6" w:rsidRPr="009366B6">
        <w:rPr>
          <w:i/>
          <w:color w:val="000000" w:themeColor="text1"/>
          <w:lang w:val="en-US"/>
        </w:rPr>
        <w:t>,</w:t>
      </w:r>
      <w:proofErr w:type="gramEnd"/>
      <w:r w:rsidR="009366B6" w:rsidRPr="009366B6">
        <w:rPr>
          <w:i/>
          <w:color w:val="000000" w:themeColor="text1"/>
          <w:lang w:val="en-US"/>
        </w:rPr>
        <w:t xml:space="preserve"> </w:t>
      </w:r>
      <w:r w:rsidR="009366B6">
        <w:rPr>
          <w:color w:val="000000" w:themeColor="text1"/>
          <w:lang w:val="en-US"/>
        </w:rPr>
        <w:t>Venezuelan Politics and Human Rights [</w:t>
      </w:r>
      <w:proofErr w:type="spellStart"/>
      <w:r w:rsidR="009366B6">
        <w:rPr>
          <w:color w:val="000000" w:themeColor="text1"/>
          <w:lang w:val="en-US"/>
        </w:rPr>
        <w:t>blogi</w:t>
      </w:r>
      <w:proofErr w:type="spellEnd"/>
      <w:r w:rsidR="009366B6">
        <w:rPr>
          <w:color w:val="000000" w:themeColor="text1"/>
          <w:lang w:val="en-US"/>
        </w:rPr>
        <w:t xml:space="preserve">]. </w:t>
      </w:r>
      <w:hyperlink r:id="rId33" w:history="1">
        <w:r w:rsidR="009366B6" w:rsidRPr="00DC2274">
          <w:rPr>
            <w:rStyle w:val="Hyperlinkki"/>
          </w:rPr>
          <w:t>https://venezuelablog.tumblr.com/post/103460615729/venezuelas-police-revolution-rolling-back-or</w:t>
        </w:r>
      </w:hyperlink>
      <w:r w:rsidRPr="00DC2274">
        <w:rPr>
          <w:color w:val="000000" w:themeColor="text1"/>
        </w:rPr>
        <w:t xml:space="preserve"> </w:t>
      </w:r>
      <w:r w:rsidR="00DC2274" w:rsidRPr="00DC2274">
        <w:rPr>
          <w:color w:val="000000" w:themeColor="text1"/>
        </w:rPr>
        <w:t>(kä</w:t>
      </w:r>
      <w:r w:rsidR="00DC2274">
        <w:rPr>
          <w:color w:val="000000" w:themeColor="text1"/>
        </w:rPr>
        <w:t>yty 13.11.2024).</w:t>
      </w:r>
    </w:p>
    <w:p w14:paraId="63544D1F" w14:textId="77777777" w:rsidR="00082DFE" w:rsidRPr="001D5CAA" w:rsidRDefault="00DE60AA" w:rsidP="00082DFE">
      <w:pPr>
        <w:pStyle w:val="LeiptekstiMigri"/>
        <w:ind w:left="0"/>
        <w:rPr>
          <w:lang w:val="en-GB"/>
        </w:rPr>
      </w:pPr>
      <w:r>
        <w:rPr>
          <w:b/>
        </w:rPr>
        <w:pict w14:anchorId="2CDC2B3D">
          <v:rect id="_x0000_i1028" style="width:0;height:1.5pt" o:hralign="center" o:hrstd="t" o:hr="t" fillcolor="#a0a0a0" stroked="f"/>
        </w:pict>
      </w:r>
    </w:p>
    <w:p w14:paraId="341F9D0B" w14:textId="77777777" w:rsidR="00082DFE" w:rsidRDefault="001D63F6" w:rsidP="00810134">
      <w:pPr>
        <w:pStyle w:val="Numeroimatonotsikko"/>
      </w:pPr>
      <w:r>
        <w:t>Tietoja vastauksesta</w:t>
      </w:r>
    </w:p>
    <w:p w14:paraId="3BD86F5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934F762" w14:textId="77777777" w:rsidR="001D63F6" w:rsidRPr="00BC367A" w:rsidRDefault="001D63F6" w:rsidP="00810134">
      <w:pPr>
        <w:pStyle w:val="Numeroimatonotsikko"/>
        <w:rPr>
          <w:lang w:val="en-GB"/>
        </w:rPr>
      </w:pPr>
      <w:r w:rsidRPr="00BC367A">
        <w:rPr>
          <w:lang w:val="en-GB"/>
        </w:rPr>
        <w:t>Information on the response</w:t>
      </w:r>
    </w:p>
    <w:p w14:paraId="00035813" w14:textId="77777777" w:rsidR="005C36C8" w:rsidRDefault="00A35BCB" w:rsidP="00C65F61">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w:t>
      </w:r>
      <w:r w:rsidRPr="00A35BCB">
        <w:rPr>
          <w:lang w:val="en-GB"/>
        </w:rPr>
        <w:lastRenderedPageBreak/>
        <w:t>opinion of the Finnish Immigration Service, and it is not a political statement or a judicial evaluation.</w:t>
      </w:r>
    </w:p>
    <w:p w14:paraId="16EA51E4" w14:textId="39EF96DD" w:rsidR="008B67EF" w:rsidRPr="00B0395D" w:rsidRDefault="008B67EF" w:rsidP="008B67EF">
      <w:pPr>
        <w:jc w:val="left"/>
        <w:rPr>
          <w:lang w:val="en-US"/>
        </w:rPr>
      </w:pPr>
    </w:p>
    <w:sectPr w:rsidR="008B67EF" w:rsidRPr="00B0395D" w:rsidSect="00072438">
      <w:headerReference w:type="default" r:id="rId34"/>
      <w:headerReference w:type="first" r:id="rId35"/>
      <w:footerReference w:type="first" r:id="rId3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F205C" w14:textId="77777777" w:rsidR="00212856" w:rsidRDefault="00212856" w:rsidP="007E0069">
      <w:pPr>
        <w:spacing w:after="0" w:line="240" w:lineRule="auto"/>
      </w:pPr>
      <w:r>
        <w:separator/>
      </w:r>
    </w:p>
  </w:endnote>
  <w:endnote w:type="continuationSeparator" w:id="0">
    <w:p w14:paraId="0735E052" w14:textId="77777777" w:rsidR="00212856" w:rsidRDefault="0021285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D01A" w14:textId="77777777" w:rsidR="00212856" w:rsidRDefault="00212856"/>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212856" w:rsidRPr="00A83D54" w14:paraId="6BCC17C5" w14:textId="77777777" w:rsidTr="00483E37">
      <w:trPr>
        <w:trHeight w:val="189"/>
      </w:trPr>
      <w:tc>
        <w:tcPr>
          <w:tcW w:w="1560" w:type="dxa"/>
        </w:tcPr>
        <w:p w14:paraId="34B05D99" w14:textId="77777777" w:rsidR="00212856" w:rsidRPr="00A83D54" w:rsidRDefault="00212856" w:rsidP="00337E76">
          <w:pPr>
            <w:pStyle w:val="Alatunniste"/>
            <w:rPr>
              <w:sz w:val="14"/>
              <w:szCs w:val="14"/>
            </w:rPr>
          </w:pPr>
        </w:p>
      </w:tc>
      <w:tc>
        <w:tcPr>
          <w:tcW w:w="2551" w:type="dxa"/>
        </w:tcPr>
        <w:p w14:paraId="6D037C7D" w14:textId="77777777" w:rsidR="00212856" w:rsidRPr="00A83D54" w:rsidRDefault="00212856" w:rsidP="00337E76">
          <w:pPr>
            <w:pStyle w:val="Alatunniste"/>
            <w:rPr>
              <w:sz w:val="14"/>
              <w:szCs w:val="14"/>
            </w:rPr>
          </w:pPr>
        </w:p>
      </w:tc>
      <w:tc>
        <w:tcPr>
          <w:tcW w:w="2552" w:type="dxa"/>
        </w:tcPr>
        <w:p w14:paraId="39CBB34F" w14:textId="77777777" w:rsidR="00212856" w:rsidRPr="00A83D54" w:rsidRDefault="00212856" w:rsidP="00337E76">
          <w:pPr>
            <w:pStyle w:val="Alatunniste"/>
            <w:rPr>
              <w:sz w:val="14"/>
              <w:szCs w:val="14"/>
            </w:rPr>
          </w:pPr>
        </w:p>
      </w:tc>
      <w:tc>
        <w:tcPr>
          <w:tcW w:w="2830" w:type="dxa"/>
        </w:tcPr>
        <w:p w14:paraId="56AAA6C1" w14:textId="77777777" w:rsidR="00212856" w:rsidRPr="00A83D54" w:rsidRDefault="00212856" w:rsidP="00337E76">
          <w:pPr>
            <w:pStyle w:val="Alatunniste"/>
            <w:rPr>
              <w:sz w:val="14"/>
              <w:szCs w:val="14"/>
            </w:rPr>
          </w:pPr>
        </w:p>
      </w:tc>
    </w:tr>
    <w:tr w:rsidR="00212856" w:rsidRPr="00A83D54" w14:paraId="7B754266" w14:textId="77777777" w:rsidTr="00483E37">
      <w:trPr>
        <w:trHeight w:val="189"/>
      </w:trPr>
      <w:tc>
        <w:tcPr>
          <w:tcW w:w="1560" w:type="dxa"/>
        </w:tcPr>
        <w:p w14:paraId="0FB8E2B8" w14:textId="77777777" w:rsidR="00212856" w:rsidRPr="00A83D54" w:rsidRDefault="00212856" w:rsidP="00337E76">
          <w:pPr>
            <w:pStyle w:val="Alatunniste"/>
            <w:rPr>
              <w:sz w:val="14"/>
              <w:szCs w:val="14"/>
            </w:rPr>
          </w:pPr>
        </w:p>
      </w:tc>
      <w:tc>
        <w:tcPr>
          <w:tcW w:w="2551" w:type="dxa"/>
        </w:tcPr>
        <w:p w14:paraId="42DE73F3" w14:textId="77777777" w:rsidR="00212856" w:rsidRPr="00A83D54" w:rsidRDefault="00212856" w:rsidP="00337E76">
          <w:pPr>
            <w:pStyle w:val="Alatunniste"/>
            <w:rPr>
              <w:sz w:val="14"/>
              <w:szCs w:val="14"/>
            </w:rPr>
          </w:pPr>
        </w:p>
      </w:tc>
      <w:tc>
        <w:tcPr>
          <w:tcW w:w="2552" w:type="dxa"/>
        </w:tcPr>
        <w:p w14:paraId="6B131993" w14:textId="77777777" w:rsidR="00212856" w:rsidRPr="00A83D54" w:rsidRDefault="00212856" w:rsidP="00337E76">
          <w:pPr>
            <w:pStyle w:val="Alatunniste"/>
            <w:rPr>
              <w:sz w:val="14"/>
              <w:szCs w:val="14"/>
            </w:rPr>
          </w:pPr>
        </w:p>
      </w:tc>
      <w:tc>
        <w:tcPr>
          <w:tcW w:w="2830" w:type="dxa"/>
        </w:tcPr>
        <w:p w14:paraId="56C9169C" w14:textId="77777777" w:rsidR="00212856" w:rsidRPr="00A83D54" w:rsidRDefault="00212856" w:rsidP="00337E76">
          <w:pPr>
            <w:pStyle w:val="Alatunniste"/>
            <w:rPr>
              <w:sz w:val="14"/>
              <w:szCs w:val="14"/>
            </w:rPr>
          </w:pPr>
        </w:p>
      </w:tc>
    </w:tr>
    <w:tr w:rsidR="00212856" w:rsidRPr="00A83D54" w14:paraId="45BE9A56" w14:textId="77777777" w:rsidTr="00483E37">
      <w:trPr>
        <w:trHeight w:val="189"/>
      </w:trPr>
      <w:tc>
        <w:tcPr>
          <w:tcW w:w="1560" w:type="dxa"/>
        </w:tcPr>
        <w:p w14:paraId="5C813A30" w14:textId="77777777" w:rsidR="00212856" w:rsidRPr="00A83D54" w:rsidRDefault="00212856" w:rsidP="00337E76">
          <w:pPr>
            <w:pStyle w:val="Alatunniste"/>
            <w:rPr>
              <w:sz w:val="14"/>
              <w:szCs w:val="14"/>
            </w:rPr>
          </w:pPr>
        </w:p>
      </w:tc>
      <w:tc>
        <w:tcPr>
          <w:tcW w:w="2551" w:type="dxa"/>
        </w:tcPr>
        <w:p w14:paraId="64A23C72" w14:textId="77777777" w:rsidR="00212856" w:rsidRPr="00A83D54" w:rsidRDefault="00212856" w:rsidP="00337E76">
          <w:pPr>
            <w:pStyle w:val="Alatunniste"/>
            <w:rPr>
              <w:sz w:val="14"/>
              <w:szCs w:val="14"/>
            </w:rPr>
          </w:pPr>
        </w:p>
      </w:tc>
      <w:tc>
        <w:tcPr>
          <w:tcW w:w="2552" w:type="dxa"/>
        </w:tcPr>
        <w:p w14:paraId="3EF5C8AA" w14:textId="77777777" w:rsidR="00212856" w:rsidRPr="00A83D54" w:rsidRDefault="00212856" w:rsidP="00337E76">
          <w:pPr>
            <w:pStyle w:val="Alatunniste"/>
            <w:rPr>
              <w:sz w:val="14"/>
              <w:szCs w:val="14"/>
            </w:rPr>
          </w:pPr>
        </w:p>
      </w:tc>
      <w:tc>
        <w:tcPr>
          <w:tcW w:w="2830" w:type="dxa"/>
        </w:tcPr>
        <w:p w14:paraId="76200722" w14:textId="77777777" w:rsidR="00212856" w:rsidRPr="00A83D54" w:rsidRDefault="00212856" w:rsidP="00337E76">
          <w:pPr>
            <w:pStyle w:val="Alatunniste"/>
            <w:rPr>
              <w:sz w:val="14"/>
              <w:szCs w:val="14"/>
            </w:rPr>
          </w:pPr>
        </w:p>
      </w:tc>
    </w:tr>
  </w:tbl>
  <w:p w14:paraId="3C33C02A" w14:textId="77777777" w:rsidR="00212856" w:rsidRDefault="00212856">
    <w:pPr>
      <w:pStyle w:val="Alatunniste"/>
    </w:pPr>
    <w:r w:rsidRPr="00A83D54">
      <w:rPr>
        <w:noProof/>
        <w:sz w:val="14"/>
        <w:szCs w:val="14"/>
        <w:lang w:eastAsia="fi-FI"/>
      </w:rPr>
      <w:drawing>
        <wp:anchor distT="0" distB="0" distL="114300" distR="114300" simplePos="0" relativeHeight="251667456" behindDoc="0" locked="0" layoutInCell="1" allowOverlap="1" wp14:anchorId="76D370C8" wp14:editId="289AAC9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85FECD1" w14:textId="77777777" w:rsidR="00212856" w:rsidRDefault="0021285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AD857" w14:textId="77777777" w:rsidR="00212856" w:rsidRDefault="00212856" w:rsidP="007E0069">
      <w:pPr>
        <w:spacing w:after="0" w:line="240" w:lineRule="auto"/>
      </w:pPr>
      <w:r>
        <w:separator/>
      </w:r>
    </w:p>
  </w:footnote>
  <w:footnote w:type="continuationSeparator" w:id="0">
    <w:p w14:paraId="5592C653" w14:textId="77777777" w:rsidR="00212856" w:rsidRDefault="00212856" w:rsidP="007E0069">
      <w:pPr>
        <w:spacing w:after="0" w:line="240" w:lineRule="auto"/>
      </w:pPr>
      <w:r>
        <w:continuationSeparator/>
      </w:r>
    </w:p>
  </w:footnote>
  <w:footnote w:id="1">
    <w:p w14:paraId="50DC8B34" w14:textId="4CCB3A61" w:rsidR="00212856" w:rsidRDefault="00212856" w:rsidP="00771BA9">
      <w:pPr>
        <w:pStyle w:val="Alaviitteenteksti"/>
        <w:jc w:val="left"/>
      </w:pPr>
      <w:r>
        <w:rPr>
          <w:rStyle w:val="Alaviitteenviite"/>
        </w:rPr>
        <w:footnoteRef/>
      </w:r>
      <w:r>
        <w:t xml:space="preserve"> </w:t>
      </w:r>
      <w:r w:rsidRPr="004536FD">
        <w:rPr>
          <w:color w:val="000000" w:themeColor="text1"/>
        </w:rPr>
        <w:t xml:space="preserve">Maatietopalvelun kyselyvastaus </w:t>
      </w:r>
      <w:r w:rsidRPr="004536FD">
        <w:rPr>
          <w:i/>
          <w:color w:val="000000" w:themeColor="text1"/>
        </w:rPr>
        <w:t xml:space="preserve">”Venezuela / FAES ja oikeudenloukkaukset, </w:t>
      </w:r>
      <w:proofErr w:type="spellStart"/>
      <w:r w:rsidRPr="004536FD">
        <w:rPr>
          <w:i/>
          <w:color w:val="000000" w:themeColor="text1"/>
        </w:rPr>
        <w:t>Acción</w:t>
      </w:r>
      <w:proofErr w:type="spellEnd"/>
      <w:r w:rsidRPr="004536FD">
        <w:rPr>
          <w:i/>
          <w:color w:val="000000" w:themeColor="text1"/>
        </w:rPr>
        <w:t xml:space="preserve"> </w:t>
      </w:r>
      <w:proofErr w:type="spellStart"/>
      <w:r w:rsidRPr="004536FD">
        <w:rPr>
          <w:i/>
          <w:color w:val="000000" w:themeColor="text1"/>
        </w:rPr>
        <w:t>Democrática</w:t>
      </w:r>
      <w:proofErr w:type="spellEnd"/>
      <w:r w:rsidRPr="004536FD">
        <w:rPr>
          <w:i/>
          <w:color w:val="000000" w:themeColor="text1"/>
        </w:rPr>
        <w:t xml:space="preserve"> -puolue, </w:t>
      </w:r>
      <w:proofErr w:type="spellStart"/>
      <w:r w:rsidRPr="004536FD">
        <w:rPr>
          <w:i/>
          <w:color w:val="000000" w:themeColor="text1"/>
        </w:rPr>
        <w:t>Voluntad</w:t>
      </w:r>
      <w:proofErr w:type="spellEnd"/>
      <w:r w:rsidRPr="004536FD">
        <w:rPr>
          <w:i/>
          <w:color w:val="000000" w:themeColor="text1"/>
        </w:rPr>
        <w:t xml:space="preserve"> </w:t>
      </w:r>
      <w:proofErr w:type="spellStart"/>
      <w:r w:rsidRPr="00771BA9">
        <w:rPr>
          <w:i/>
        </w:rPr>
        <w:t>Popular</w:t>
      </w:r>
      <w:proofErr w:type="spellEnd"/>
      <w:r w:rsidRPr="00771BA9">
        <w:rPr>
          <w:i/>
        </w:rPr>
        <w:t xml:space="preserve"> -puolue”</w:t>
      </w:r>
      <w:r>
        <w:rPr>
          <w:i/>
        </w:rPr>
        <w:t xml:space="preserve"> </w:t>
      </w:r>
      <w:r w:rsidRPr="004536FD">
        <w:rPr>
          <w:color w:val="000000" w:themeColor="text1"/>
        </w:rPr>
        <w:t>(päivätty 21.3.2023)</w:t>
      </w:r>
      <w:r w:rsidRPr="004536FD">
        <w:rPr>
          <w:i/>
          <w:color w:val="000000" w:themeColor="text1"/>
        </w:rPr>
        <w:t>.</w:t>
      </w:r>
      <w:r w:rsidRPr="004536FD">
        <w:rPr>
          <w:color w:val="000000" w:themeColor="text1"/>
        </w:rPr>
        <w:t xml:space="preserve"> </w:t>
      </w:r>
      <w:r>
        <w:t>Saatavilla: Tellus-</w:t>
      </w:r>
      <w:proofErr w:type="spellStart"/>
      <w:r>
        <w:t>maatietokannassa</w:t>
      </w:r>
      <w:proofErr w:type="spellEnd"/>
      <w:r>
        <w:t>.</w:t>
      </w:r>
    </w:p>
  </w:footnote>
  <w:footnote w:id="2">
    <w:p w14:paraId="3B0535DF" w14:textId="4EF0636E" w:rsidR="00212856" w:rsidRDefault="00212856" w:rsidP="004536FD">
      <w:pPr>
        <w:pStyle w:val="Alaviitteenteksti"/>
        <w:jc w:val="left"/>
      </w:pPr>
      <w:r>
        <w:rPr>
          <w:rStyle w:val="Alaviitteenviite"/>
        </w:rPr>
        <w:footnoteRef/>
      </w:r>
      <w:r>
        <w:t xml:space="preserve"> Maatietopalvelun kyselyvastaukset </w:t>
      </w:r>
      <w:r w:rsidRPr="005C597E">
        <w:rPr>
          <w:i/>
        </w:rPr>
        <w:t>”Venezuela / mielenosoitukset, oikeudenloukkaukset, pidätykset, ehdonalainen, alaikäiset”</w:t>
      </w:r>
      <w:r>
        <w:t xml:space="preserve"> (päivätty 6.11.2019); </w:t>
      </w:r>
      <w:r w:rsidRPr="005C597E">
        <w:rPr>
          <w:i/>
        </w:rPr>
        <w:t xml:space="preserve">”Venezuela / Viranomaissuojelun saatavuus” </w:t>
      </w:r>
      <w:r>
        <w:t>(päivätty 29.8.2019). Saatavilla: Tellus-</w:t>
      </w:r>
      <w:proofErr w:type="spellStart"/>
      <w:r>
        <w:t>maatietokannassa</w:t>
      </w:r>
      <w:proofErr w:type="spellEnd"/>
      <w:r>
        <w:t>.</w:t>
      </w:r>
    </w:p>
  </w:footnote>
  <w:footnote w:id="3">
    <w:p w14:paraId="379550C5" w14:textId="06CE29C7" w:rsidR="00212856" w:rsidRDefault="00212856" w:rsidP="004536FD">
      <w:pPr>
        <w:pStyle w:val="Alaviitteenteksti"/>
        <w:jc w:val="left"/>
      </w:pPr>
      <w:r>
        <w:rPr>
          <w:rStyle w:val="Alaviitteenviite"/>
        </w:rPr>
        <w:footnoteRef/>
      </w:r>
      <w:r>
        <w:t xml:space="preserve"> EUAA 11/2023 [raportti], ks.</w:t>
      </w:r>
      <w:r w:rsidR="00D516F2">
        <w:t xml:space="preserve"> esim.</w:t>
      </w:r>
      <w:r>
        <w:t xml:space="preserve"> s. 20; 26; 41; 64; 67.</w:t>
      </w:r>
    </w:p>
  </w:footnote>
  <w:footnote w:id="4">
    <w:p w14:paraId="2E043384" w14:textId="6DE2D8D3" w:rsidR="00212856" w:rsidRPr="006B4192" w:rsidRDefault="00212856" w:rsidP="00D61A05">
      <w:pPr>
        <w:pStyle w:val="Alaviitteenteksti"/>
        <w:jc w:val="left"/>
        <w:rPr>
          <w:i/>
        </w:rPr>
      </w:pPr>
      <w:r>
        <w:rPr>
          <w:rStyle w:val="Alaviitteenviite"/>
        </w:rPr>
        <w:footnoteRef/>
      </w:r>
      <w:r w:rsidRPr="006B4192">
        <w:t xml:space="preserve"> Esp. MPPIJP (</w:t>
      </w:r>
      <w:proofErr w:type="spellStart"/>
      <w:r w:rsidRPr="006B4192">
        <w:rPr>
          <w:i/>
        </w:rPr>
        <w:t>Ministerio</w:t>
      </w:r>
      <w:proofErr w:type="spellEnd"/>
      <w:r w:rsidRPr="006B4192">
        <w:rPr>
          <w:i/>
        </w:rPr>
        <w:t xml:space="preserve"> del </w:t>
      </w:r>
      <w:proofErr w:type="spellStart"/>
      <w:r w:rsidRPr="006B4192">
        <w:rPr>
          <w:i/>
        </w:rPr>
        <w:t>Poder</w:t>
      </w:r>
      <w:proofErr w:type="spellEnd"/>
      <w:r w:rsidRPr="006B4192">
        <w:rPr>
          <w:i/>
        </w:rPr>
        <w:t xml:space="preserve"> </w:t>
      </w:r>
      <w:proofErr w:type="spellStart"/>
      <w:r w:rsidRPr="006B4192">
        <w:rPr>
          <w:i/>
        </w:rPr>
        <w:t>Popular</w:t>
      </w:r>
      <w:proofErr w:type="spellEnd"/>
      <w:r w:rsidRPr="006B4192">
        <w:rPr>
          <w:i/>
        </w:rPr>
        <w:t xml:space="preserve"> </w:t>
      </w:r>
      <w:proofErr w:type="spellStart"/>
      <w:r w:rsidRPr="006B4192">
        <w:rPr>
          <w:i/>
        </w:rPr>
        <w:t>para</w:t>
      </w:r>
      <w:proofErr w:type="spellEnd"/>
      <w:r w:rsidRPr="006B4192">
        <w:rPr>
          <w:i/>
        </w:rPr>
        <w:t xml:space="preserve"> </w:t>
      </w:r>
      <w:proofErr w:type="spellStart"/>
      <w:r w:rsidRPr="006B4192">
        <w:rPr>
          <w:i/>
        </w:rPr>
        <w:t>Relaciones</w:t>
      </w:r>
      <w:proofErr w:type="spellEnd"/>
      <w:r w:rsidRPr="006B4192">
        <w:rPr>
          <w:i/>
        </w:rPr>
        <w:t xml:space="preserve"> </w:t>
      </w:r>
      <w:proofErr w:type="spellStart"/>
      <w:r w:rsidRPr="006B4192">
        <w:rPr>
          <w:i/>
        </w:rPr>
        <w:t>Interiores</w:t>
      </w:r>
      <w:proofErr w:type="spellEnd"/>
      <w:r w:rsidRPr="006B4192">
        <w:rPr>
          <w:i/>
        </w:rPr>
        <w:t xml:space="preserve">, </w:t>
      </w:r>
      <w:proofErr w:type="spellStart"/>
      <w:r w:rsidRPr="006B4192">
        <w:rPr>
          <w:i/>
        </w:rPr>
        <w:t>Justicia</w:t>
      </w:r>
      <w:proofErr w:type="spellEnd"/>
      <w:r w:rsidRPr="006B4192">
        <w:rPr>
          <w:i/>
        </w:rPr>
        <w:t xml:space="preserve"> y Paz de Venezuela).</w:t>
      </w:r>
    </w:p>
  </w:footnote>
  <w:footnote w:id="5">
    <w:p w14:paraId="37D51C03" w14:textId="62561E0E" w:rsidR="00212856" w:rsidRPr="00681B11" w:rsidRDefault="00212856" w:rsidP="004536FD">
      <w:pPr>
        <w:pStyle w:val="Alaviitteenteksti"/>
        <w:jc w:val="left"/>
      </w:pPr>
      <w:r>
        <w:rPr>
          <w:rStyle w:val="Alaviitteenviite"/>
        </w:rPr>
        <w:footnoteRef/>
      </w:r>
      <w:r w:rsidRPr="00B44B78">
        <w:t xml:space="preserve"> </w:t>
      </w:r>
      <w:proofErr w:type="spellStart"/>
      <w:r w:rsidRPr="00B44B78">
        <w:t>Accesso</w:t>
      </w:r>
      <w:proofErr w:type="spellEnd"/>
      <w:r w:rsidRPr="00B44B78">
        <w:t xml:space="preserve"> a la </w:t>
      </w:r>
      <w:proofErr w:type="spellStart"/>
      <w:r w:rsidRPr="00B44B78">
        <w:t>Justicia</w:t>
      </w:r>
      <w:proofErr w:type="spellEnd"/>
      <w:r w:rsidRPr="00B44B78">
        <w:t xml:space="preserve"> [päiväämätön]a. Caracasista raportoinut</w:t>
      </w:r>
      <w:r>
        <w:t xml:space="preserve"> toimittaja Stephen </w:t>
      </w:r>
      <w:proofErr w:type="spellStart"/>
      <w:r>
        <w:t>Gibbs</w:t>
      </w:r>
      <w:proofErr w:type="spellEnd"/>
      <w:r>
        <w:t xml:space="preserve"> on todennut BBC </w:t>
      </w:r>
      <w:proofErr w:type="spellStart"/>
      <w:r>
        <w:t>Mundon</w:t>
      </w:r>
      <w:proofErr w:type="spellEnd"/>
      <w:r>
        <w:t xml:space="preserve"> 28.6.2017 julkaiseman artikkelin mukaan, että </w:t>
      </w:r>
      <w:proofErr w:type="spellStart"/>
      <w:r>
        <w:t>CICPC:n</w:t>
      </w:r>
      <w:proofErr w:type="spellEnd"/>
      <w:r>
        <w:t xml:space="preserve"> rooli Venezuelassa on samankaltainen kuin FBI:n (</w:t>
      </w:r>
      <w:proofErr w:type="spellStart"/>
      <w:r w:rsidRPr="00B44B78">
        <w:rPr>
          <w:i/>
        </w:rPr>
        <w:t>Federal</w:t>
      </w:r>
      <w:proofErr w:type="spellEnd"/>
      <w:r w:rsidRPr="00B44B78">
        <w:rPr>
          <w:i/>
        </w:rPr>
        <w:t xml:space="preserve"> Bureau of </w:t>
      </w:r>
      <w:proofErr w:type="spellStart"/>
      <w:r w:rsidRPr="00B44B78">
        <w:rPr>
          <w:i/>
        </w:rPr>
        <w:t>Investigation</w:t>
      </w:r>
      <w:proofErr w:type="spellEnd"/>
      <w:r>
        <w:t>) rooli Yhdysvalloissa.</w:t>
      </w:r>
    </w:p>
  </w:footnote>
  <w:footnote w:id="6">
    <w:p w14:paraId="10DF89CC" w14:textId="77777777" w:rsidR="00212856" w:rsidRPr="00637AF3" w:rsidRDefault="00212856" w:rsidP="0010706E">
      <w:pPr>
        <w:pStyle w:val="Alaviitteenteksti"/>
        <w:jc w:val="left"/>
        <w:rPr>
          <w:lang w:val="en-US"/>
        </w:rPr>
      </w:pPr>
      <w:r>
        <w:rPr>
          <w:rStyle w:val="Alaviitteenviite"/>
        </w:rPr>
        <w:footnoteRef/>
      </w:r>
      <w:r w:rsidRPr="00637AF3">
        <w:rPr>
          <w:lang w:val="en-US"/>
        </w:rPr>
        <w:t xml:space="preserve"> ICJ (International Commission of Jurists) 4/2024, s. 29.</w:t>
      </w:r>
    </w:p>
  </w:footnote>
  <w:footnote w:id="7">
    <w:p w14:paraId="4001C387" w14:textId="158C0F98" w:rsidR="00212856" w:rsidRDefault="00212856">
      <w:pPr>
        <w:pStyle w:val="Alaviitteenteksti"/>
      </w:pPr>
      <w:r>
        <w:rPr>
          <w:rStyle w:val="Alaviitteenviite"/>
        </w:rPr>
        <w:footnoteRef/>
      </w:r>
      <w:r>
        <w:t xml:space="preserve"> BBC </w:t>
      </w:r>
      <w:proofErr w:type="spellStart"/>
      <w:r>
        <w:t>Mundo</w:t>
      </w:r>
      <w:proofErr w:type="spellEnd"/>
      <w:r>
        <w:t xml:space="preserve"> 28.6.2017.</w:t>
      </w:r>
    </w:p>
  </w:footnote>
  <w:footnote w:id="8">
    <w:p w14:paraId="6C844B0E" w14:textId="648AEBD9" w:rsidR="00212856" w:rsidRPr="00E11E17" w:rsidRDefault="00212856" w:rsidP="00806DC9">
      <w:pPr>
        <w:pStyle w:val="Alaviitteenteksti"/>
        <w:jc w:val="left"/>
        <w:rPr>
          <w:color w:val="FF0000"/>
        </w:rPr>
      </w:pPr>
      <w:r>
        <w:rPr>
          <w:rStyle w:val="Alaviitteenviite"/>
        </w:rPr>
        <w:footnoteRef/>
      </w:r>
      <w:r>
        <w:t xml:space="preserve"> Kaikissa tässä vastauksessa </w:t>
      </w:r>
      <w:r w:rsidRPr="00151B14">
        <w:rPr>
          <w:color w:val="000000" w:themeColor="text1"/>
        </w:rPr>
        <w:t xml:space="preserve">hyödynnetyissä </w:t>
      </w:r>
      <w:r w:rsidR="003726B0">
        <w:rPr>
          <w:color w:val="000000" w:themeColor="text1"/>
        </w:rPr>
        <w:t xml:space="preserve">UN </w:t>
      </w:r>
      <w:proofErr w:type="spellStart"/>
      <w:r w:rsidR="003726B0">
        <w:rPr>
          <w:color w:val="000000" w:themeColor="text1"/>
        </w:rPr>
        <w:t>HRC</w:t>
      </w:r>
      <w:r w:rsidRPr="00151B14">
        <w:rPr>
          <w:color w:val="000000" w:themeColor="text1"/>
        </w:rPr>
        <w:t>:n</w:t>
      </w:r>
      <w:proofErr w:type="spellEnd"/>
      <w:r w:rsidRPr="00151B14">
        <w:rPr>
          <w:color w:val="000000" w:themeColor="text1"/>
        </w:rPr>
        <w:t xml:space="preserve"> tiedonhankintaraporteissa </w:t>
      </w:r>
      <w:r>
        <w:t xml:space="preserve">(2020, 2021 ja 2024) on todettu, että tiedonhankintaa on vaikeuttanut </w:t>
      </w:r>
      <w:proofErr w:type="spellStart"/>
      <w:r>
        <w:t>Maduron</w:t>
      </w:r>
      <w:proofErr w:type="spellEnd"/>
      <w:r>
        <w:t xml:space="preserve"> hallinnon kieltäytyminen kaikesta yhteistyöstä tiedonhankintaoperaation kanssa. Vuoden 2020 tiedonhankintaraportin osalta tulee huomioida myös se, että koronapandemia hankaloitti tiedonkeruuta entisestään. </w:t>
      </w:r>
    </w:p>
  </w:footnote>
  <w:footnote w:id="9">
    <w:p w14:paraId="666BC72E" w14:textId="0F3DBD98" w:rsidR="00212856" w:rsidRPr="003726B0" w:rsidRDefault="00212856" w:rsidP="00501BA0">
      <w:pPr>
        <w:pStyle w:val="Alaviitteenteksti"/>
        <w:jc w:val="left"/>
      </w:pPr>
      <w:r>
        <w:rPr>
          <w:rStyle w:val="Alaviitteenviite"/>
        </w:rPr>
        <w:footnoteRef/>
      </w:r>
      <w:r w:rsidRPr="003726B0">
        <w:t xml:space="preserve"> </w:t>
      </w:r>
      <w:r w:rsidR="003726B0" w:rsidRPr="003726B0">
        <w:t>UN HRC</w:t>
      </w:r>
      <w:r w:rsidRPr="003726B0">
        <w:t xml:space="preserve"> 15.9.2020, s. 405. </w:t>
      </w:r>
    </w:p>
  </w:footnote>
  <w:footnote w:id="10">
    <w:p w14:paraId="727A5857" w14:textId="32E953A0" w:rsidR="00212856" w:rsidRDefault="00212856" w:rsidP="00064FD5">
      <w:pPr>
        <w:pStyle w:val="Alaviitteenteksti"/>
        <w:jc w:val="left"/>
      </w:pPr>
      <w:r>
        <w:rPr>
          <w:rStyle w:val="Alaviitteenviite"/>
        </w:rPr>
        <w:footnoteRef/>
      </w:r>
      <w:r>
        <w:t xml:space="preserve"> </w:t>
      </w:r>
      <w:proofErr w:type="spellStart"/>
      <w:r w:rsidRPr="005C597E">
        <w:rPr>
          <w:i/>
          <w:color w:val="000000" w:themeColor="text1"/>
        </w:rPr>
        <w:t>Colectivos</w:t>
      </w:r>
      <w:proofErr w:type="spellEnd"/>
      <w:r>
        <w:rPr>
          <w:color w:val="000000" w:themeColor="text1"/>
        </w:rPr>
        <w:t xml:space="preserve"> -ryhm</w:t>
      </w:r>
      <w:r w:rsidR="006C6CA3">
        <w:rPr>
          <w:color w:val="000000" w:themeColor="text1"/>
        </w:rPr>
        <w:t>ien</w:t>
      </w:r>
      <w:r>
        <w:rPr>
          <w:color w:val="000000" w:themeColor="text1"/>
        </w:rPr>
        <w:t xml:space="preserve"> toimintaa on käsitelty m</w:t>
      </w:r>
      <w:r w:rsidRPr="004536FD">
        <w:rPr>
          <w:color w:val="000000" w:themeColor="text1"/>
        </w:rPr>
        <w:t>aatietopalvelun kyselyvastau</w:t>
      </w:r>
      <w:r>
        <w:rPr>
          <w:color w:val="000000" w:themeColor="text1"/>
        </w:rPr>
        <w:t>ksessa</w:t>
      </w:r>
      <w:r w:rsidRPr="004536FD">
        <w:rPr>
          <w:color w:val="000000" w:themeColor="text1"/>
        </w:rPr>
        <w:t xml:space="preserve"> </w:t>
      </w:r>
      <w:r w:rsidRPr="005C597E">
        <w:rPr>
          <w:i/>
          <w:color w:val="000000" w:themeColor="text1"/>
        </w:rPr>
        <w:t>”</w:t>
      </w:r>
      <w:r w:rsidRPr="005C597E">
        <w:rPr>
          <w:i/>
        </w:rPr>
        <w:t xml:space="preserve">Venezuela / </w:t>
      </w:r>
      <w:proofErr w:type="spellStart"/>
      <w:r w:rsidRPr="005C597E">
        <w:rPr>
          <w:i/>
        </w:rPr>
        <w:t>Colectivos</w:t>
      </w:r>
      <w:proofErr w:type="spellEnd"/>
      <w:r w:rsidRPr="005C597E">
        <w:rPr>
          <w:i/>
        </w:rPr>
        <w:t>-ryhmät ja viranomaisten suhtautuminen heidän toimintaansa”</w:t>
      </w:r>
      <w:r>
        <w:t xml:space="preserve"> (päivätty 7.3.2019). Saatavilla: Tellus-</w:t>
      </w:r>
      <w:proofErr w:type="spellStart"/>
      <w:r>
        <w:t>maatietokannassa</w:t>
      </w:r>
      <w:proofErr w:type="spellEnd"/>
      <w:r>
        <w:t>.</w:t>
      </w:r>
    </w:p>
  </w:footnote>
  <w:footnote w:id="11">
    <w:p w14:paraId="172069ED" w14:textId="4CBB77B8" w:rsidR="00212856" w:rsidRPr="0003261B" w:rsidRDefault="00212856" w:rsidP="00064FD5">
      <w:pPr>
        <w:pStyle w:val="Alaviitteenteksti"/>
        <w:jc w:val="left"/>
      </w:pPr>
      <w:r>
        <w:rPr>
          <w:rStyle w:val="Alaviitteenviite"/>
        </w:rPr>
        <w:footnoteRef/>
      </w:r>
      <w:r w:rsidRPr="0003261B">
        <w:t xml:space="preserve"> </w:t>
      </w:r>
      <w:r w:rsidR="003726B0">
        <w:t>UN HRC</w:t>
      </w:r>
      <w:r w:rsidRPr="0003261B">
        <w:t xml:space="preserve"> 14.10.2024, s. 107 &amp; 122.</w:t>
      </w:r>
    </w:p>
  </w:footnote>
  <w:footnote w:id="12">
    <w:p w14:paraId="73D8DE02" w14:textId="111EF448" w:rsidR="00BE2BE4" w:rsidRPr="003726B0" w:rsidRDefault="00BE2BE4" w:rsidP="00864EFA">
      <w:pPr>
        <w:pStyle w:val="Alaviitteenteksti"/>
        <w:jc w:val="left"/>
      </w:pPr>
      <w:r>
        <w:rPr>
          <w:rStyle w:val="Alaviitteenviite"/>
        </w:rPr>
        <w:footnoteRef/>
      </w:r>
      <w:r w:rsidRPr="003726B0">
        <w:t xml:space="preserve"> </w:t>
      </w:r>
      <w:proofErr w:type="spellStart"/>
      <w:r w:rsidR="00143043" w:rsidRPr="003726B0">
        <w:t>Acceso</w:t>
      </w:r>
      <w:proofErr w:type="spellEnd"/>
      <w:r w:rsidR="00143043" w:rsidRPr="003726B0">
        <w:t xml:space="preserve"> a la </w:t>
      </w:r>
      <w:proofErr w:type="spellStart"/>
      <w:r w:rsidR="00143043" w:rsidRPr="003726B0">
        <w:t>Justicia</w:t>
      </w:r>
      <w:proofErr w:type="spellEnd"/>
      <w:r w:rsidR="00143043" w:rsidRPr="003726B0">
        <w:t xml:space="preserve"> 7/2019, s. 28; PROVEA / </w:t>
      </w:r>
      <w:proofErr w:type="spellStart"/>
      <w:r w:rsidR="00143043" w:rsidRPr="003726B0">
        <w:t>Ávila</w:t>
      </w:r>
      <w:proofErr w:type="spellEnd"/>
      <w:r w:rsidR="00143043" w:rsidRPr="003726B0">
        <w:t xml:space="preserve"> 24.4.2019, s. 37 &amp; 58.</w:t>
      </w:r>
    </w:p>
  </w:footnote>
  <w:footnote w:id="13">
    <w:p w14:paraId="5F399608" w14:textId="2DE5B6F9" w:rsidR="00465A21" w:rsidRPr="00465A21" w:rsidRDefault="00465A21" w:rsidP="00864EFA">
      <w:pPr>
        <w:pStyle w:val="Alaviitteenteksti"/>
        <w:jc w:val="left"/>
        <w:rPr>
          <w:lang w:val="sv-SE"/>
        </w:rPr>
      </w:pPr>
      <w:r>
        <w:rPr>
          <w:rStyle w:val="Alaviitteenviite"/>
        </w:rPr>
        <w:footnoteRef/>
      </w:r>
      <w:r w:rsidRPr="00465A21">
        <w:rPr>
          <w:lang w:val="sv-SE"/>
        </w:rPr>
        <w:t xml:space="preserve"> </w:t>
      </w:r>
      <w:proofErr w:type="spellStart"/>
      <w:r w:rsidRPr="00465A21">
        <w:rPr>
          <w:lang w:val="sv-SE"/>
        </w:rPr>
        <w:t>M</w:t>
      </w:r>
      <w:r>
        <w:rPr>
          <w:lang w:val="sv-SE"/>
        </w:rPr>
        <w:t>undaray</w:t>
      </w:r>
      <w:proofErr w:type="spellEnd"/>
      <w:r>
        <w:rPr>
          <w:lang w:val="sv-SE"/>
        </w:rPr>
        <w:t xml:space="preserve"> 27.10.2020. </w:t>
      </w:r>
    </w:p>
  </w:footnote>
  <w:footnote w:id="14">
    <w:p w14:paraId="3C7954A0" w14:textId="6A25BC82" w:rsidR="00212856" w:rsidRPr="00B50441" w:rsidRDefault="00212856" w:rsidP="00806DC9">
      <w:pPr>
        <w:pStyle w:val="Alaviitteenteksti"/>
        <w:jc w:val="left"/>
      </w:pPr>
      <w:r>
        <w:rPr>
          <w:rStyle w:val="Alaviitteenviite"/>
        </w:rPr>
        <w:footnoteRef/>
      </w:r>
      <w:r w:rsidRPr="00465A21">
        <w:rPr>
          <w:lang w:val="sv-SE"/>
        </w:rPr>
        <w:t xml:space="preserve"> </w:t>
      </w:r>
      <w:proofErr w:type="spellStart"/>
      <w:r w:rsidRPr="00465A21">
        <w:rPr>
          <w:lang w:val="sv-SE"/>
        </w:rPr>
        <w:t>República</w:t>
      </w:r>
      <w:proofErr w:type="spellEnd"/>
      <w:r w:rsidRPr="00465A21">
        <w:rPr>
          <w:lang w:val="sv-SE"/>
        </w:rPr>
        <w:t xml:space="preserve"> </w:t>
      </w:r>
      <w:proofErr w:type="spellStart"/>
      <w:r w:rsidRPr="00465A21">
        <w:rPr>
          <w:lang w:val="sv-SE"/>
        </w:rPr>
        <w:t>Bolivariana</w:t>
      </w:r>
      <w:proofErr w:type="spellEnd"/>
      <w:r w:rsidRPr="00465A21">
        <w:rPr>
          <w:lang w:val="sv-SE"/>
        </w:rPr>
        <w:t xml:space="preserve"> de Venezuela 15.6.2012, § 35. </w:t>
      </w:r>
      <w:r w:rsidRPr="00B50441">
        <w:t xml:space="preserve">Ks. myös ICJ 4/2024, s. 16; </w:t>
      </w:r>
      <w:r w:rsidR="003726B0" w:rsidRPr="00B50441">
        <w:t>UN HRC</w:t>
      </w:r>
      <w:r w:rsidRPr="00B50441">
        <w:t xml:space="preserve"> 16.9.2021, s. 78.</w:t>
      </w:r>
    </w:p>
  </w:footnote>
  <w:footnote w:id="15">
    <w:p w14:paraId="12370547" w14:textId="7AD79033" w:rsidR="00212856" w:rsidRDefault="00212856" w:rsidP="00806DC9">
      <w:pPr>
        <w:pStyle w:val="Alaviitteenteksti"/>
        <w:jc w:val="left"/>
      </w:pPr>
      <w:r>
        <w:rPr>
          <w:rStyle w:val="Alaviitteenviite"/>
        </w:rPr>
        <w:footnoteRef/>
      </w:r>
      <w:r>
        <w:t xml:space="preserve"> ICJ 4/2024, s. 16. Kyseisessä raportissa kuvataan laajamittaisesti </w:t>
      </w:r>
      <w:proofErr w:type="spellStart"/>
      <w:r>
        <w:t>CICPC:n</w:t>
      </w:r>
      <w:proofErr w:type="spellEnd"/>
      <w:r>
        <w:t xml:space="preserve"> ja syyttäjänviraston toimintaa ja ongelmia.</w:t>
      </w:r>
    </w:p>
  </w:footnote>
  <w:footnote w:id="16">
    <w:p w14:paraId="0C428EC1" w14:textId="75B1177A" w:rsidR="00212856" w:rsidRPr="00CF1D0E" w:rsidRDefault="00212856" w:rsidP="00CF1D0E">
      <w:pPr>
        <w:pStyle w:val="Alaviitteenteksti"/>
        <w:jc w:val="left"/>
      </w:pPr>
      <w:r>
        <w:rPr>
          <w:rStyle w:val="Alaviitteenviite"/>
        </w:rPr>
        <w:footnoteRef/>
      </w:r>
      <w:r w:rsidRPr="003726B0">
        <w:t xml:space="preserve"> </w:t>
      </w:r>
      <w:proofErr w:type="spellStart"/>
      <w:r w:rsidRPr="003726B0">
        <w:t>República</w:t>
      </w:r>
      <w:proofErr w:type="spellEnd"/>
      <w:r w:rsidRPr="003726B0">
        <w:t xml:space="preserve"> </w:t>
      </w:r>
      <w:proofErr w:type="spellStart"/>
      <w:r w:rsidRPr="003726B0">
        <w:t>Bolivariana</w:t>
      </w:r>
      <w:proofErr w:type="spellEnd"/>
      <w:r w:rsidRPr="003726B0">
        <w:t xml:space="preserve"> de Venezuela 17.9.2021, § 32. </w:t>
      </w:r>
      <w:r w:rsidR="007E6ACB">
        <w:t xml:space="preserve">Laissa ”taso yksi” on hierarkiassa alimpana ja ”taso kolme” ylimpänä, mutta tässä vastauksessa on selkeyden vuoksi käännetty järjestys toisin päin. </w:t>
      </w:r>
      <w:r w:rsidRPr="00CF1D0E">
        <w:t>Ks. myös Venezuelan valtiollise</w:t>
      </w:r>
      <w:r>
        <w:t>ssa</w:t>
      </w:r>
      <w:r w:rsidRPr="00CF1D0E">
        <w:t xml:space="preserve"> turvallisuusyliopisto</w:t>
      </w:r>
      <w:r>
        <w:t>ssa</w:t>
      </w:r>
      <w:r w:rsidRPr="00CF1D0E">
        <w:t xml:space="preserve"> tuot</w:t>
      </w:r>
      <w:r>
        <w:t>ettu</w:t>
      </w:r>
      <w:r w:rsidRPr="00CF1D0E">
        <w:t xml:space="preserve"> katsaus </w:t>
      </w:r>
      <w:proofErr w:type="spellStart"/>
      <w:r w:rsidRPr="00CF1D0E">
        <w:t>CICPC:n</w:t>
      </w:r>
      <w:proofErr w:type="spellEnd"/>
      <w:r w:rsidRPr="00CF1D0E">
        <w:t xml:space="preserve"> organisaatiorakentees</w:t>
      </w:r>
      <w:r>
        <w:t>ta (4/2015)</w:t>
      </w:r>
      <w:r w:rsidRPr="00CF1D0E">
        <w:t xml:space="preserve">: </w:t>
      </w:r>
      <w:hyperlink r:id="rId1" w:history="1">
        <w:r w:rsidRPr="00AC1541">
          <w:rPr>
            <w:rStyle w:val="Hyperlinkki"/>
          </w:rPr>
          <w:t>https://www.scribd.com/document/268651543/Analisis-de-La-Estructura-Organizacional-Del-Cicpc</w:t>
        </w:r>
      </w:hyperlink>
      <w:r>
        <w:t xml:space="preserve"> (käyty 15.11.2024). Ko. dokumentissa on avattu tarkemmin myös hierarkian eri tasoilla työskentelevien nimikkeitä.</w:t>
      </w:r>
    </w:p>
  </w:footnote>
  <w:footnote w:id="17">
    <w:p w14:paraId="335D8DE3" w14:textId="569D3E49" w:rsidR="00212856" w:rsidRPr="00B0395D" w:rsidRDefault="00212856" w:rsidP="00806DC9">
      <w:pPr>
        <w:pStyle w:val="Alaviitteenteksti"/>
        <w:jc w:val="left"/>
        <w:rPr>
          <w:color w:val="FF0000"/>
        </w:rPr>
      </w:pPr>
      <w:r>
        <w:rPr>
          <w:rStyle w:val="Alaviitteenviite"/>
        </w:rPr>
        <w:footnoteRef/>
      </w:r>
      <w:r w:rsidRPr="00B0395D">
        <w:t xml:space="preserve"> </w:t>
      </w:r>
      <w:r>
        <w:t>Lähteen mukaan laitos tunnettiin ennen nimillä</w:t>
      </w:r>
      <w:r w:rsidRPr="00B0395D">
        <w:rPr>
          <w:color w:val="000000" w:themeColor="text1"/>
        </w:rPr>
        <w:t xml:space="preserve"> </w:t>
      </w:r>
      <w:proofErr w:type="spellStart"/>
      <w:r w:rsidRPr="0018118D">
        <w:rPr>
          <w:i/>
          <w:color w:val="000000" w:themeColor="text1"/>
        </w:rPr>
        <w:t>Policía</w:t>
      </w:r>
      <w:proofErr w:type="spellEnd"/>
      <w:r w:rsidRPr="0018118D">
        <w:rPr>
          <w:i/>
          <w:color w:val="000000" w:themeColor="text1"/>
        </w:rPr>
        <w:t xml:space="preserve"> </w:t>
      </w:r>
      <w:proofErr w:type="spellStart"/>
      <w:r w:rsidRPr="0018118D">
        <w:rPr>
          <w:i/>
          <w:color w:val="000000" w:themeColor="text1"/>
        </w:rPr>
        <w:t>Técnica</w:t>
      </w:r>
      <w:proofErr w:type="spellEnd"/>
      <w:r w:rsidRPr="0018118D">
        <w:rPr>
          <w:i/>
          <w:color w:val="000000" w:themeColor="text1"/>
        </w:rPr>
        <w:t xml:space="preserve"> </w:t>
      </w:r>
      <w:proofErr w:type="spellStart"/>
      <w:r w:rsidRPr="0018118D">
        <w:rPr>
          <w:i/>
          <w:color w:val="000000" w:themeColor="text1"/>
        </w:rPr>
        <w:t>Judicial</w:t>
      </w:r>
      <w:proofErr w:type="spellEnd"/>
      <w:r w:rsidRPr="00B0395D">
        <w:rPr>
          <w:color w:val="000000" w:themeColor="text1"/>
        </w:rPr>
        <w:t xml:space="preserve"> (PTJ) ja </w:t>
      </w:r>
      <w:proofErr w:type="spellStart"/>
      <w:r w:rsidRPr="0018118D">
        <w:rPr>
          <w:i/>
          <w:color w:val="000000" w:themeColor="text1"/>
        </w:rPr>
        <w:t>Cuerpo</w:t>
      </w:r>
      <w:proofErr w:type="spellEnd"/>
      <w:r w:rsidRPr="0018118D">
        <w:rPr>
          <w:i/>
          <w:color w:val="000000" w:themeColor="text1"/>
        </w:rPr>
        <w:t xml:space="preserve"> </w:t>
      </w:r>
      <w:proofErr w:type="spellStart"/>
      <w:r w:rsidRPr="0018118D">
        <w:rPr>
          <w:i/>
          <w:color w:val="000000" w:themeColor="text1"/>
        </w:rPr>
        <w:t>Técnico</w:t>
      </w:r>
      <w:proofErr w:type="spellEnd"/>
      <w:r w:rsidRPr="0018118D">
        <w:rPr>
          <w:i/>
          <w:color w:val="000000" w:themeColor="text1"/>
        </w:rPr>
        <w:t xml:space="preserve"> de </w:t>
      </w:r>
      <w:proofErr w:type="spellStart"/>
      <w:r w:rsidRPr="0018118D">
        <w:rPr>
          <w:i/>
          <w:color w:val="000000" w:themeColor="text1"/>
        </w:rPr>
        <w:t>Policía</w:t>
      </w:r>
      <w:proofErr w:type="spellEnd"/>
      <w:r w:rsidRPr="0018118D">
        <w:rPr>
          <w:i/>
          <w:color w:val="000000" w:themeColor="text1"/>
        </w:rPr>
        <w:t xml:space="preserve"> </w:t>
      </w:r>
      <w:proofErr w:type="spellStart"/>
      <w:r w:rsidRPr="0018118D">
        <w:rPr>
          <w:i/>
          <w:color w:val="000000" w:themeColor="text1"/>
        </w:rPr>
        <w:t>Judicial</w:t>
      </w:r>
      <w:proofErr w:type="spellEnd"/>
      <w:r w:rsidRPr="00B0395D">
        <w:rPr>
          <w:color w:val="000000" w:themeColor="text1"/>
        </w:rPr>
        <w:t xml:space="preserve"> (CTPJ)</w:t>
      </w:r>
      <w:r>
        <w:rPr>
          <w:color w:val="000000" w:themeColor="text1"/>
        </w:rPr>
        <w:t>.</w:t>
      </w:r>
    </w:p>
  </w:footnote>
  <w:footnote w:id="18">
    <w:p w14:paraId="01D152FC" w14:textId="1FE1F5A0" w:rsidR="00212856" w:rsidRPr="00FA3D45" w:rsidRDefault="00212856" w:rsidP="00B0395D">
      <w:pPr>
        <w:pStyle w:val="Alaviitteenteksti"/>
        <w:jc w:val="left"/>
        <w:rPr>
          <w:lang w:val="en-US"/>
        </w:rPr>
      </w:pPr>
      <w:r>
        <w:rPr>
          <w:rStyle w:val="Alaviitteenviite"/>
        </w:rPr>
        <w:footnoteRef/>
      </w:r>
      <w:r w:rsidRPr="00FA3D45">
        <w:rPr>
          <w:lang w:val="en-US"/>
        </w:rPr>
        <w:t xml:space="preserve"> </w:t>
      </w:r>
      <w:proofErr w:type="spellStart"/>
      <w:r w:rsidRPr="00FA3D45">
        <w:rPr>
          <w:lang w:val="en-US"/>
        </w:rPr>
        <w:t>Acceso</w:t>
      </w:r>
      <w:proofErr w:type="spellEnd"/>
      <w:r w:rsidRPr="00FA3D45">
        <w:rPr>
          <w:lang w:val="en-US"/>
        </w:rPr>
        <w:t xml:space="preserve"> a la Justicia 7/2019, s. </w:t>
      </w:r>
      <w:r>
        <w:rPr>
          <w:lang w:val="en-US"/>
        </w:rPr>
        <w:t>27</w:t>
      </w:r>
      <w:r w:rsidRPr="00FA3D45">
        <w:rPr>
          <w:lang w:val="en-US"/>
        </w:rPr>
        <w:t>.</w:t>
      </w:r>
    </w:p>
  </w:footnote>
  <w:footnote w:id="19">
    <w:p w14:paraId="70ECE963" w14:textId="7A002FAC" w:rsidR="00212856" w:rsidRPr="00E56490" w:rsidRDefault="00212856" w:rsidP="00806DC9">
      <w:pPr>
        <w:pStyle w:val="Alaviitteenteksti"/>
        <w:jc w:val="left"/>
        <w:rPr>
          <w:lang w:val="en-US"/>
        </w:rPr>
      </w:pPr>
      <w:r>
        <w:rPr>
          <w:rStyle w:val="Alaviitteenviite"/>
        </w:rPr>
        <w:footnoteRef/>
      </w:r>
      <w:r w:rsidRPr="00A34AC4">
        <w:rPr>
          <w:color w:val="FF0000"/>
        </w:rPr>
        <w:t xml:space="preserve"> </w:t>
      </w:r>
      <w:r w:rsidRPr="000F5E0F">
        <w:rPr>
          <w:color w:val="000000" w:themeColor="text1"/>
        </w:rPr>
        <w:t xml:space="preserve">Tässä viitataan ns. </w:t>
      </w:r>
      <w:proofErr w:type="spellStart"/>
      <w:r w:rsidRPr="000F5E0F">
        <w:rPr>
          <w:color w:val="000000" w:themeColor="text1"/>
        </w:rPr>
        <w:t>chavismiin</w:t>
      </w:r>
      <w:proofErr w:type="spellEnd"/>
      <w:r w:rsidRPr="000F5E0F">
        <w:rPr>
          <w:color w:val="000000" w:themeColor="text1"/>
        </w:rPr>
        <w:t xml:space="preserve"> (esp. </w:t>
      </w:r>
      <w:proofErr w:type="spellStart"/>
      <w:r w:rsidRPr="000F5E0F">
        <w:rPr>
          <w:i/>
          <w:color w:val="000000" w:themeColor="text1"/>
        </w:rPr>
        <w:t>chavismo</w:t>
      </w:r>
      <w:proofErr w:type="spellEnd"/>
      <w:r w:rsidRPr="000F5E0F">
        <w:rPr>
          <w:color w:val="000000" w:themeColor="text1"/>
        </w:rPr>
        <w:t>) eli Venezuelan entisen presidentin Hugo Ch</w:t>
      </w:r>
      <w:r>
        <w:rPr>
          <w:color w:val="000000" w:themeColor="text1"/>
        </w:rPr>
        <w:t>á</w:t>
      </w:r>
      <w:r w:rsidRPr="000F5E0F">
        <w:rPr>
          <w:color w:val="000000" w:themeColor="text1"/>
        </w:rPr>
        <w:t>v</w:t>
      </w:r>
      <w:r>
        <w:rPr>
          <w:color w:val="000000" w:themeColor="text1"/>
        </w:rPr>
        <w:t>e</w:t>
      </w:r>
      <w:r w:rsidRPr="000F5E0F">
        <w:rPr>
          <w:color w:val="000000" w:themeColor="text1"/>
        </w:rPr>
        <w:t xml:space="preserve">zin </w:t>
      </w:r>
      <w:r>
        <w:rPr>
          <w:color w:val="000000" w:themeColor="text1"/>
        </w:rPr>
        <w:t>edistämään</w:t>
      </w:r>
      <w:r w:rsidRPr="000F5E0F">
        <w:rPr>
          <w:color w:val="000000" w:themeColor="text1"/>
        </w:rPr>
        <w:t xml:space="preserve"> </w:t>
      </w:r>
      <w:r>
        <w:rPr>
          <w:color w:val="000000" w:themeColor="text1"/>
        </w:rPr>
        <w:t>sosialistiseen</w:t>
      </w:r>
      <w:r w:rsidRPr="000F5E0F">
        <w:rPr>
          <w:color w:val="000000" w:themeColor="text1"/>
        </w:rPr>
        <w:t xml:space="preserve"> järjestelmään. Venezuelan nykyinen presidentti Nicol</w:t>
      </w:r>
      <w:r w:rsidR="00FE27E7">
        <w:rPr>
          <w:color w:val="000000" w:themeColor="text1"/>
        </w:rPr>
        <w:t>á</w:t>
      </w:r>
      <w:r w:rsidRPr="000F5E0F">
        <w:rPr>
          <w:color w:val="000000" w:themeColor="text1"/>
        </w:rPr>
        <w:t xml:space="preserve">s </w:t>
      </w:r>
      <w:proofErr w:type="spellStart"/>
      <w:r w:rsidRPr="000F5E0F">
        <w:rPr>
          <w:color w:val="000000" w:themeColor="text1"/>
        </w:rPr>
        <w:t>Maduro</w:t>
      </w:r>
      <w:proofErr w:type="spellEnd"/>
      <w:r w:rsidRPr="000F5E0F">
        <w:rPr>
          <w:color w:val="000000" w:themeColor="text1"/>
        </w:rPr>
        <w:t xml:space="preserve"> oli edesmenneen Ch</w:t>
      </w:r>
      <w:r>
        <w:rPr>
          <w:color w:val="000000" w:themeColor="text1"/>
        </w:rPr>
        <w:t>á</w:t>
      </w:r>
      <w:r w:rsidRPr="000F5E0F">
        <w:rPr>
          <w:color w:val="000000" w:themeColor="text1"/>
        </w:rPr>
        <w:t>v</w:t>
      </w:r>
      <w:r>
        <w:rPr>
          <w:color w:val="000000" w:themeColor="text1"/>
        </w:rPr>
        <w:t>e</w:t>
      </w:r>
      <w:r w:rsidRPr="000F5E0F">
        <w:rPr>
          <w:color w:val="000000" w:themeColor="text1"/>
        </w:rPr>
        <w:t xml:space="preserve">zin läheinen liittolainen ja hänen katsotaan </w:t>
      </w:r>
      <w:r w:rsidRPr="00E56490">
        <w:rPr>
          <w:color w:val="000000" w:themeColor="text1"/>
        </w:rPr>
        <w:t>edelleen ylläpitävän ”</w:t>
      </w:r>
      <w:proofErr w:type="spellStart"/>
      <w:r w:rsidRPr="00E56490">
        <w:rPr>
          <w:color w:val="000000" w:themeColor="text1"/>
        </w:rPr>
        <w:t>chavistista</w:t>
      </w:r>
      <w:proofErr w:type="spellEnd"/>
      <w:r w:rsidRPr="00E56490">
        <w:rPr>
          <w:color w:val="000000" w:themeColor="text1"/>
        </w:rPr>
        <w:t xml:space="preserve">” järjestelmää, joskin entistä autoritaarisempana. </w:t>
      </w:r>
      <w:r w:rsidRPr="00E56490">
        <w:rPr>
          <w:color w:val="000000" w:themeColor="text1"/>
          <w:lang w:val="en-US"/>
        </w:rPr>
        <w:t xml:space="preserve">Ks. </w:t>
      </w:r>
      <w:proofErr w:type="spellStart"/>
      <w:r w:rsidRPr="00E56490">
        <w:rPr>
          <w:color w:val="000000" w:themeColor="text1"/>
          <w:lang w:val="en-US"/>
        </w:rPr>
        <w:t>esim</w:t>
      </w:r>
      <w:proofErr w:type="spellEnd"/>
      <w:r w:rsidRPr="00E56490">
        <w:rPr>
          <w:color w:val="000000" w:themeColor="text1"/>
          <w:lang w:val="en-US"/>
        </w:rPr>
        <w:t>. Council on Foreign Relations [</w:t>
      </w:r>
      <w:proofErr w:type="spellStart"/>
      <w:r w:rsidRPr="00E56490">
        <w:rPr>
          <w:color w:val="000000" w:themeColor="text1"/>
          <w:lang w:val="en-US"/>
        </w:rPr>
        <w:t>päiväämätön</w:t>
      </w:r>
      <w:proofErr w:type="spellEnd"/>
      <w:r w:rsidRPr="00E56490">
        <w:rPr>
          <w:color w:val="000000" w:themeColor="text1"/>
          <w:lang w:val="en-US"/>
        </w:rPr>
        <w:t xml:space="preserve">]; The New York Times / </w:t>
      </w:r>
      <w:proofErr w:type="spellStart"/>
      <w:r w:rsidRPr="00E56490">
        <w:rPr>
          <w:color w:val="000000" w:themeColor="text1"/>
          <w:lang w:val="en-US"/>
        </w:rPr>
        <w:t>Turkewitz</w:t>
      </w:r>
      <w:proofErr w:type="spellEnd"/>
      <w:r w:rsidRPr="00E56490">
        <w:rPr>
          <w:color w:val="000000" w:themeColor="text1"/>
          <w:lang w:val="en-US"/>
        </w:rPr>
        <w:t xml:space="preserve"> 1.10.2024.</w:t>
      </w:r>
    </w:p>
  </w:footnote>
  <w:footnote w:id="20">
    <w:p w14:paraId="67384121" w14:textId="4A4C48EE" w:rsidR="00212856" w:rsidRPr="00904690" w:rsidRDefault="00212856" w:rsidP="006644F6">
      <w:pPr>
        <w:pStyle w:val="Alaviitteenteksti"/>
        <w:jc w:val="left"/>
      </w:pPr>
      <w:r>
        <w:rPr>
          <w:rStyle w:val="Alaviitteenviite"/>
        </w:rPr>
        <w:footnoteRef/>
      </w:r>
      <w:r w:rsidRPr="00B0395D">
        <w:t xml:space="preserve"> </w:t>
      </w:r>
      <w:proofErr w:type="spellStart"/>
      <w:r w:rsidRPr="00B0395D">
        <w:t>Acceso</w:t>
      </w:r>
      <w:proofErr w:type="spellEnd"/>
      <w:r w:rsidRPr="00B0395D">
        <w:t xml:space="preserve"> a la </w:t>
      </w:r>
      <w:proofErr w:type="spellStart"/>
      <w:r w:rsidRPr="00B0395D">
        <w:t>Justicia</w:t>
      </w:r>
      <w:proofErr w:type="spellEnd"/>
      <w:r w:rsidRPr="00B0395D">
        <w:t xml:space="preserve"> [päiväämätön]b. Ks. </w:t>
      </w:r>
      <w:r>
        <w:t xml:space="preserve">Venezuelan perustuslain englanninkielinen käännös: </w:t>
      </w:r>
      <w:hyperlink r:id="rId2" w:history="1">
        <w:r w:rsidRPr="00BC70A3">
          <w:rPr>
            <w:rStyle w:val="Hyperlinkki"/>
          </w:rPr>
          <w:t>https://www.constituteproject.org/constitution/Venezuela_2009</w:t>
        </w:r>
      </w:hyperlink>
      <w:r>
        <w:t xml:space="preserve"> ja alkuperäislähde espanjaksi: </w:t>
      </w:r>
      <w:hyperlink r:id="rId3" w:history="1">
        <w:r w:rsidRPr="00BC70A3">
          <w:rPr>
            <w:rStyle w:val="Hyperlinkki"/>
          </w:rPr>
          <w:t>https://www.asambleanacional.gob.ve/storage/documentos/botones/constitucion-nacional-20191205135853.PDF</w:t>
        </w:r>
      </w:hyperlink>
      <w:r>
        <w:t xml:space="preserve"> (käyty 13.11.2024).</w:t>
      </w:r>
    </w:p>
  </w:footnote>
  <w:footnote w:id="21">
    <w:p w14:paraId="0AA5562D" w14:textId="20163EDC" w:rsidR="00EF1EA8" w:rsidRDefault="00EF1EA8" w:rsidP="00864EFA">
      <w:pPr>
        <w:pStyle w:val="Alaviitteenteksti"/>
        <w:jc w:val="left"/>
      </w:pPr>
      <w:r>
        <w:rPr>
          <w:rStyle w:val="Alaviitteenviite"/>
        </w:rPr>
        <w:footnoteRef/>
      </w:r>
      <w:r>
        <w:t xml:space="preserve"> Tässä viitataan edellä mainittuun lakiin </w:t>
      </w:r>
      <w:proofErr w:type="spellStart"/>
      <w:r w:rsidRPr="00812AF8">
        <w:rPr>
          <w:i/>
          <w:color w:val="000000" w:themeColor="text1"/>
        </w:rPr>
        <w:t>Ley</w:t>
      </w:r>
      <w:proofErr w:type="spellEnd"/>
      <w:r w:rsidRPr="00812AF8">
        <w:rPr>
          <w:i/>
          <w:color w:val="000000" w:themeColor="text1"/>
        </w:rPr>
        <w:t xml:space="preserve"> </w:t>
      </w:r>
      <w:proofErr w:type="spellStart"/>
      <w:r w:rsidRPr="00812AF8">
        <w:rPr>
          <w:i/>
          <w:color w:val="000000" w:themeColor="text1"/>
        </w:rPr>
        <w:t>Orgánica</w:t>
      </w:r>
      <w:proofErr w:type="spellEnd"/>
      <w:r w:rsidRPr="00812AF8">
        <w:rPr>
          <w:i/>
          <w:color w:val="000000" w:themeColor="text1"/>
        </w:rPr>
        <w:t xml:space="preserve"> del </w:t>
      </w:r>
      <w:proofErr w:type="spellStart"/>
      <w:r w:rsidRPr="00812AF8">
        <w:rPr>
          <w:i/>
          <w:color w:val="000000" w:themeColor="text1"/>
        </w:rPr>
        <w:t>Servicio</w:t>
      </w:r>
      <w:proofErr w:type="spellEnd"/>
      <w:r w:rsidRPr="00812AF8">
        <w:rPr>
          <w:i/>
          <w:color w:val="000000" w:themeColor="text1"/>
        </w:rPr>
        <w:t xml:space="preserve"> de la </w:t>
      </w:r>
      <w:proofErr w:type="spellStart"/>
      <w:r w:rsidRPr="00812AF8">
        <w:rPr>
          <w:i/>
          <w:color w:val="000000" w:themeColor="text1"/>
        </w:rPr>
        <w:t>Policía</w:t>
      </w:r>
      <w:proofErr w:type="spellEnd"/>
      <w:r w:rsidRPr="00812AF8">
        <w:rPr>
          <w:i/>
          <w:color w:val="000000" w:themeColor="text1"/>
        </w:rPr>
        <w:t xml:space="preserve"> de </w:t>
      </w:r>
      <w:proofErr w:type="spellStart"/>
      <w:r w:rsidRPr="00812AF8">
        <w:rPr>
          <w:i/>
          <w:color w:val="000000" w:themeColor="text1"/>
        </w:rPr>
        <w:t>Investigación</w:t>
      </w:r>
      <w:proofErr w:type="spellEnd"/>
      <w:r w:rsidRPr="00812AF8">
        <w:rPr>
          <w:i/>
          <w:color w:val="000000" w:themeColor="text1"/>
        </w:rPr>
        <w:t xml:space="preserve">, </w:t>
      </w:r>
      <w:proofErr w:type="spellStart"/>
      <w:r w:rsidRPr="00812AF8">
        <w:rPr>
          <w:i/>
          <w:color w:val="000000" w:themeColor="text1"/>
        </w:rPr>
        <w:t>el</w:t>
      </w:r>
      <w:proofErr w:type="spellEnd"/>
      <w:r w:rsidRPr="00812AF8">
        <w:rPr>
          <w:i/>
          <w:color w:val="000000" w:themeColor="text1"/>
        </w:rPr>
        <w:t xml:space="preserve"> </w:t>
      </w:r>
      <w:proofErr w:type="spellStart"/>
      <w:r w:rsidRPr="00812AF8">
        <w:rPr>
          <w:i/>
          <w:color w:val="000000" w:themeColor="text1"/>
        </w:rPr>
        <w:t>Cuerpo</w:t>
      </w:r>
      <w:proofErr w:type="spellEnd"/>
      <w:r w:rsidRPr="00812AF8">
        <w:rPr>
          <w:i/>
          <w:color w:val="000000" w:themeColor="text1"/>
        </w:rPr>
        <w:t xml:space="preserve"> de </w:t>
      </w:r>
      <w:proofErr w:type="spellStart"/>
      <w:r w:rsidRPr="00812AF8">
        <w:rPr>
          <w:i/>
          <w:color w:val="000000" w:themeColor="text1"/>
        </w:rPr>
        <w:t>Investigaciones</w:t>
      </w:r>
      <w:proofErr w:type="spellEnd"/>
      <w:r w:rsidRPr="00812AF8">
        <w:rPr>
          <w:i/>
          <w:color w:val="000000" w:themeColor="text1"/>
        </w:rPr>
        <w:t xml:space="preserve"> </w:t>
      </w:r>
      <w:proofErr w:type="spellStart"/>
      <w:r w:rsidRPr="00812AF8">
        <w:rPr>
          <w:i/>
          <w:color w:val="000000" w:themeColor="text1"/>
        </w:rPr>
        <w:t>Científicas</w:t>
      </w:r>
      <w:proofErr w:type="spellEnd"/>
      <w:r w:rsidRPr="00812AF8">
        <w:rPr>
          <w:i/>
          <w:color w:val="000000" w:themeColor="text1"/>
        </w:rPr>
        <w:t xml:space="preserve">, </w:t>
      </w:r>
      <w:proofErr w:type="spellStart"/>
      <w:r w:rsidRPr="00812AF8">
        <w:rPr>
          <w:i/>
          <w:color w:val="000000" w:themeColor="text1"/>
        </w:rPr>
        <w:t>Penales</w:t>
      </w:r>
      <w:proofErr w:type="spellEnd"/>
      <w:r w:rsidRPr="00812AF8">
        <w:rPr>
          <w:i/>
          <w:color w:val="000000" w:themeColor="text1"/>
        </w:rPr>
        <w:t xml:space="preserve"> y </w:t>
      </w:r>
      <w:proofErr w:type="spellStart"/>
      <w:r w:rsidRPr="00812AF8">
        <w:rPr>
          <w:i/>
          <w:color w:val="000000" w:themeColor="text1"/>
        </w:rPr>
        <w:t>Criminalísticas</w:t>
      </w:r>
      <w:proofErr w:type="spellEnd"/>
      <w:r w:rsidRPr="00812AF8">
        <w:rPr>
          <w:i/>
          <w:color w:val="000000" w:themeColor="text1"/>
        </w:rPr>
        <w:t xml:space="preserve"> y </w:t>
      </w:r>
      <w:proofErr w:type="spellStart"/>
      <w:r w:rsidRPr="00812AF8">
        <w:rPr>
          <w:i/>
          <w:color w:val="000000" w:themeColor="text1"/>
        </w:rPr>
        <w:t>el</w:t>
      </w:r>
      <w:proofErr w:type="spellEnd"/>
      <w:r w:rsidRPr="00812AF8">
        <w:rPr>
          <w:i/>
          <w:color w:val="000000" w:themeColor="text1"/>
        </w:rPr>
        <w:t xml:space="preserve"> </w:t>
      </w:r>
      <w:proofErr w:type="spellStart"/>
      <w:r w:rsidRPr="00812AF8">
        <w:rPr>
          <w:i/>
          <w:color w:val="000000" w:themeColor="text1"/>
        </w:rPr>
        <w:t>Instituto</w:t>
      </w:r>
      <w:proofErr w:type="spellEnd"/>
      <w:r w:rsidRPr="00812AF8">
        <w:rPr>
          <w:i/>
          <w:color w:val="000000" w:themeColor="text1"/>
        </w:rPr>
        <w:t xml:space="preserve"> </w:t>
      </w:r>
      <w:proofErr w:type="spellStart"/>
      <w:r w:rsidRPr="00812AF8">
        <w:rPr>
          <w:i/>
          <w:color w:val="000000" w:themeColor="text1"/>
        </w:rPr>
        <w:t>Nacional</w:t>
      </w:r>
      <w:proofErr w:type="spellEnd"/>
      <w:r w:rsidRPr="00812AF8">
        <w:rPr>
          <w:i/>
          <w:color w:val="000000" w:themeColor="text1"/>
        </w:rPr>
        <w:t xml:space="preserve"> de </w:t>
      </w:r>
      <w:proofErr w:type="spellStart"/>
      <w:r w:rsidRPr="00812AF8">
        <w:rPr>
          <w:i/>
          <w:color w:val="000000" w:themeColor="text1"/>
        </w:rPr>
        <w:t>Medicina</w:t>
      </w:r>
      <w:proofErr w:type="spellEnd"/>
      <w:r w:rsidRPr="00812AF8">
        <w:rPr>
          <w:i/>
          <w:color w:val="000000" w:themeColor="text1"/>
        </w:rPr>
        <w:t xml:space="preserve"> y </w:t>
      </w:r>
      <w:proofErr w:type="spellStart"/>
      <w:r w:rsidRPr="00812AF8">
        <w:rPr>
          <w:i/>
          <w:color w:val="000000" w:themeColor="text1"/>
        </w:rPr>
        <w:t>Ciencias</w:t>
      </w:r>
      <w:proofErr w:type="spellEnd"/>
      <w:r w:rsidRPr="00812AF8">
        <w:rPr>
          <w:i/>
          <w:color w:val="000000" w:themeColor="text1"/>
        </w:rPr>
        <w:t xml:space="preserve"> </w:t>
      </w:r>
      <w:proofErr w:type="spellStart"/>
      <w:r w:rsidRPr="00812AF8">
        <w:rPr>
          <w:i/>
          <w:color w:val="000000" w:themeColor="text1"/>
        </w:rPr>
        <w:t>Forenses</w:t>
      </w:r>
      <w:proofErr w:type="spellEnd"/>
      <w:r>
        <w:rPr>
          <w:i/>
          <w:color w:val="000000" w:themeColor="text1"/>
        </w:rPr>
        <w:t>.</w:t>
      </w:r>
    </w:p>
  </w:footnote>
  <w:footnote w:id="22">
    <w:p w14:paraId="12D55C3F" w14:textId="3D5C925E" w:rsidR="00212856" w:rsidRPr="003726B0" w:rsidRDefault="00212856" w:rsidP="00064FD5">
      <w:pPr>
        <w:pStyle w:val="Alaviitteenteksti"/>
        <w:jc w:val="left"/>
        <w:rPr>
          <w:lang w:val="en-US"/>
        </w:rPr>
      </w:pPr>
      <w:r>
        <w:rPr>
          <w:rStyle w:val="Alaviitteenviite"/>
        </w:rPr>
        <w:footnoteRef/>
      </w:r>
      <w:r w:rsidRPr="003726B0">
        <w:rPr>
          <w:lang w:val="en-US"/>
        </w:rPr>
        <w:t xml:space="preserve"> </w:t>
      </w:r>
      <w:r w:rsidR="003726B0" w:rsidRPr="003726B0">
        <w:rPr>
          <w:lang w:val="en-US"/>
        </w:rPr>
        <w:t>UN HRC</w:t>
      </w:r>
      <w:r w:rsidRPr="003726B0">
        <w:rPr>
          <w:lang w:val="en-US"/>
        </w:rPr>
        <w:t xml:space="preserve"> 2020, s. 56–57.</w:t>
      </w:r>
    </w:p>
  </w:footnote>
  <w:footnote w:id="23">
    <w:p w14:paraId="69E9CB81" w14:textId="1321C113" w:rsidR="00212856" w:rsidRPr="00367D2C" w:rsidRDefault="00212856" w:rsidP="00064FD5">
      <w:pPr>
        <w:pStyle w:val="Alaviitteenteksti"/>
        <w:jc w:val="left"/>
        <w:rPr>
          <w:lang w:val="en-US"/>
        </w:rPr>
      </w:pPr>
      <w:r>
        <w:rPr>
          <w:rStyle w:val="Alaviitteenviite"/>
        </w:rPr>
        <w:footnoteRef/>
      </w:r>
      <w:r w:rsidRPr="00367D2C">
        <w:rPr>
          <w:lang w:val="en-US"/>
        </w:rPr>
        <w:t xml:space="preserve"> </w:t>
      </w:r>
      <w:proofErr w:type="spellStart"/>
      <w:r w:rsidRPr="00367D2C">
        <w:rPr>
          <w:lang w:val="en-US"/>
        </w:rPr>
        <w:t>Acceso</w:t>
      </w:r>
      <w:proofErr w:type="spellEnd"/>
      <w:r w:rsidRPr="00367D2C">
        <w:rPr>
          <w:lang w:val="en-US"/>
        </w:rPr>
        <w:t xml:space="preserve"> a la J</w:t>
      </w:r>
      <w:r>
        <w:rPr>
          <w:lang w:val="en-US"/>
        </w:rPr>
        <w:t>usticia 5/2022.</w:t>
      </w:r>
    </w:p>
  </w:footnote>
  <w:footnote w:id="24">
    <w:p w14:paraId="6B16D514" w14:textId="1FCB5AB8" w:rsidR="00212856" w:rsidRPr="00FA2681" w:rsidRDefault="00212856" w:rsidP="00064FD5">
      <w:pPr>
        <w:pStyle w:val="Alaviitteenteksti"/>
        <w:jc w:val="left"/>
        <w:rPr>
          <w:lang w:val="en-US"/>
        </w:rPr>
      </w:pPr>
      <w:r>
        <w:rPr>
          <w:rStyle w:val="Alaviitteenviite"/>
        </w:rPr>
        <w:footnoteRef/>
      </w:r>
      <w:r w:rsidRPr="00FA2681">
        <w:rPr>
          <w:lang w:val="en-US"/>
        </w:rPr>
        <w:t xml:space="preserve"> </w:t>
      </w:r>
      <w:proofErr w:type="spellStart"/>
      <w:r w:rsidRPr="00FA2681">
        <w:rPr>
          <w:lang w:val="en-US"/>
        </w:rPr>
        <w:t>Acceso</w:t>
      </w:r>
      <w:proofErr w:type="spellEnd"/>
      <w:r w:rsidRPr="00FA2681">
        <w:rPr>
          <w:lang w:val="en-US"/>
        </w:rPr>
        <w:t xml:space="preserve"> a la Justicia 7/2019, s</w:t>
      </w:r>
      <w:r>
        <w:rPr>
          <w:lang w:val="en-US"/>
        </w:rPr>
        <w:t>. 28.</w:t>
      </w:r>
    </w:p>
  </w:footnote>
  <w:footnote w:id="25">
    <w:p w14:paraId="69DEFBEF" w14:textId="5BA4B5D9" w:rsidR="00212856" w:rsidRDefault="00212856" w:rsidP="00064FD5">
      <w:pPr>
        <w:pStyle w:val="Alaviitteenteksti"/>
        <w:jc w:val="left"/>
      </w:pPr>
      <w:r>
        <w:rPr>
          <w:rStyle w:val="Alaviitteenviite"/>
        </w:rPr>
        <w:footnoteRef/>
      </w:r>
      <w:r>
        <w:t xml:space="preserve"> Entinen </w:t>
      </w:r>
      <w:proofErr w:type="spellStart"/>
      <w:r>
        <w:t>CICPC:n</w:t>
      </w:r>
      <w:proofErr w:type="spellEnd"/>
      <w:r>
        <w:t xml:space="preserve"> </w:t>
      </w:r>
      <w:r w:rsidRPr="004B4F3F">
        <w:rPr>
          <w:color w:val="000000" w:themeColor="text1"/>
        </w:rPr>
        <w:t xml:space="preserve">jäsen Oscar </w:t>
      </w:r>
      <w:proofErr w:type="spellStart"/>
      <w:r w:rsidRPr="004B4F3F">
        <w:rPr>
          <w:color w:val="000000" w:themeColor="text1"/>
        </w:rPr>
        <w:t>Peréz</w:t>
      </w:r>
      <w:proofErr w:type="spellEnd"/>
      <w:r w:rsidRPr="004B4F3F">
        <w:rPr>
          <w:color w:val="000000" w:themeColor="text1"/>
        </w:rPr>
        <w:t xml:space="preserve"> tuli kuuluisaksi vastustaessaan Venezuelan hallintoa. Tapauksesta on uutisoinut esim. BBC (16.1.2018): </w:t>
      </w:r>
      <w:hyperlink r:id="rId4" w:history="1">
        <w:r w:rsidRPr="00A81B6B">
          <w:rPr>
            <w:rStyle w:val="Hyperlinkki"/>
          </w:rPr>
          <w:t>https://www.bbc.com/news/world-latin-america-42695537</w:t>
        </w:r>
      </w:hyperlink>
      <w:r>
        <w:rPr>
          <w:color w:val="FF0000"/>
        </w:rPr>
        <w:t xml:space="preserve"> </w:t>
      </w:r>
      <w:r w:rsidRPr="004B4F3F">
        <w:rPr>
          <w:color w:val="000000" w:themeColor="text1"/>
        </w:rPr>
        <w:t>(käyty 15.11.2024).</w:t>
      </w:r>
    </w:p>
  </w:footnote>
  <w:footnote w:id="26">
    <w:p w14:paraId="1CBA0316" w14:textId="79470E20" w:rsidR="00212856" w:rsidRPr="004B4F3F" w:rsidRDefault="00212856" w:rsidP="00064FD5">
      <w:pPr>
        <w:pStyle w:val="Alaviitteenteksti"/>
        <w:jc w:val="left"/>
        <w:rPr>
          <w:color w:val="FF0000"/>
        </w:rPr>
      </w:pPr>
      <w:r>
        <w:rPr>
          <w:rStyle w:val="Alaviitteenviite"/>
        </w:rPr>
        <w:footnoteRef/>
      </w:r>
      <w:r>
        <w:t xml:space="preserve"> </w:t>
      </w:r>
      <w:r w:rsidRPr="00046189">
        <w:rPr>
          <w:color w:val="000000" w:themeColor="text1"/>
        </w:rPr>
        <w:t>FAES o</w:t>
      </w:r>
      <w:r>
        <w:rPr>
          <w:color w:val="000000" w:themeColor="text1"/>
        </w:rPr>
        <w:t>li</w:t>
      </w:r>
      <w:r w:rsidRPr="00046189">
        <w:rPr>
          <w:color w:val="000000" w:themeColor="text1"/>
        </w:rPr>
        <w:t xml:space="preserve"> Venezuelan hallinnon alaisuudessa toimiva erikoisjoukkoryhmittymä, jonka toimintaa on käsitelty maatietopalvelun 21.3.2023 julkaisemassa kyselyvastauksessa </w:t>
      </w:r>
      <w:r w:rsidRPr="00046189">
        <w:rPr>
          <w:i/>
          <w:color w:val="000000" w:themeColor="text1"/>
        </w:rPr>
        <w:t xml:space="preserve">”Venezuela </w:t>
      </w:r>
      <w:r w:rsidRPr="004536FD">
        <w:rPr>
          <w:i/>
          <w:color w:val="000000" w:themeColor="text1"/>
        </w:rPr>
        <w:t xml:space="preserve">/ FAES ja oikeudenloukkaukset, </w:t>
      </w:r>
      <w:proofErr w:type="spellStart"/>
      <w:r w:rsidRPr="004536FD">
        <w:rPr>
          <w:i/>
          <w:color w:val="000000" w:themeColor="text1"/>
        </w:rPr>
        <w:t>Acción</w:t>
      </w:r>
      <w:proofErr w:type="spellEnd"/>
      <w:r w:rsidRPr="004536FD">
        <w:rPr>
          <w:i/>
          <w:color w:val="000000" w:themeColor="text1"/>
        </w:rPr>
        <w:t xml:space="preserve"> </w:t>
      </w:r>
      <w:proofErr w:type="spellStart"/>
      <w:r w:rsidRPr="004536FD">
        <w:rPr>
          <w:i/>
          <w:color w:val="000000" w:themeColor="text1"/>
        </w:rPr>
        <w:t>Democrática</w:t>
      </w:r>
      <w:proofErr w:type="spellEnd"/>
      <w:r w:rsidRPr="004536FD">
        <w:rPr>
          <w:i/>
          <w:color w:val="000000" w:themeColor="text1"/>
        </w:rPr>
        <w:t xml:space="preserve"> -puolue, </w:t>
      </w:r>
      <w:proofErr w:type="spellStart"/>
      <w:r w:rsidRPr="004536FD">
        <w:rPr>
          <w:i/>
          <w:color w:val="000000" w:themeColor="text1"/>
        </w:rPr>
        <w:t>Voluntad</w:t>
      </w:r>
      <w:proofErr w:type="spellEnd"/>
      <w:r w:rsidRPr="004536FD">
        <w:rPr>
          <w:i/>
          <w:color w:val="000000" w:themeColor="text1"/>
        </w:rPr>
        <w:t xml:space="preserve"> </w:t>
      </w:r>
      <w:proofErr w:type="spellStart"/>
      <w:r w:rsidRPr="00771BA9">
        <w:rPr>
          <w:i/>
        </w:rPr>
        <w:t>Popular</w:t>
      </w:r>
      <w:proofErr w:type="spellEnd"/>
      <w:r w:rsidRPr="00771BA9">
        <w:rPr>
          <w:i/>
        </w:rPr>
        <w:t xml:space="preserve"> -puolue”</w:t>
      </w:r>
      <w:r>
        <w:rPr>
          <w:i/>
        </w:rPr>
        <w:t xml:space="preserve">. </w:t>
      </w:r>
      <w:r>
        <w:t>Human Rights Watch -järjestön (</w:t>
      </w:r>
      <w:r w:rsidR="00A61A15">
        <w:t>11.1.</w:t>
      </w:r>
      <w:r>
        <w:t>2024) mukaan FAES lakkautettiin sellaisenaan vuonna 2022, mutta sen tilalle perustettu DAET (</w:t>
      </w:r>
      <w:proofErr w:type="spellStart"/>
      <w:r w:rsidRPr="004B4F3F">
        <w:rPr>
          <w:i/>
        </w:rPr>
        <w:t>Directorate</w:t>
      </w:r>
      <w:proofErr w:type="spellEnd"/>
      <w:r w:rsidRPr="004B4F3F">
        <w:rPr>
          <w:i/>
        </w:rPr>
        <w:t xml:space="preserve"> of Strategic and </w:t>
      </w:r>
      <w:proofErr w:type="spellStart"/>
      <w:r w:rsidRPr="004B4F3F">
        <w:rPr>
          <w:i/>
        </w:rPr>
        <w:t>Tactical</w:t>
      </w:r>
      <w:proofErr w:type="spellEnd"/>
      <w:r w:rsidRPr="004B4F3F">
        <w:rPr>
          <w:i/>
        </w:rPr>
        <w:t xml:space="preserve"> </w:t>
      </w:r>
      <w:proofErr w:type="spellStart"/>
      <w:r w:rsidRPr="004B4F3F">
        <w:rPr>
          <w:i/>
        </w:rPr>
        <w:t>Actions</w:t>
      </w:r>
      <w:proofErr w:type="spellEnd"/>
      <w:r>
        <w:t xml:space="preserve">, esp. </w:t>
      </w:r>
      <w:proofErr w:type="spellStart"/>
      <w:r w:rsidRPr="004B4F3F">
        <w:rPr>
          <w:i/>
        </w:rPr>
        <w:t>Dirección</w:t>
      </w:r>
      <w:proofErr w:type="spellEnd"/>
      <w:r w:rsidRPr="004B4F3F">
        <w:rPr>
          <w:i/>
        </w:rPr>
        <w:t xml:space="preserve"> de </w:t>
      </w:r>
      <w:proofErr w:type="spellStart"/>
      <w:r w:rsidRPr="004B4F3F">
        <w:rPr>
          <w:i/>
        </w:rPr>
        <w:t>Acciones</w:t>
      </w:r>
      <w:proofErr w:type="spellEnd"/>
      <w:r w:rsidRPr="004B4F3F">
        <w:rPr>
          <w:i/>
        </w:rPr>
        <w:t xml:space="preserve"> </w:t>
      </w:r>
      <w:proofErr w:type="spellStart"/>
      <w:r w:rsidRPr="004B4F3F">
        <w:rPr>
          <w:i/>
        </w:rPr>
        <w:t>Estratégicas</w:t>
      </w:r>
      <w:proofErr w:type="spellEnd"/>
      <w:r w:rsidRPr="004B4F3F">
        <w:rPr>
          <w:i/>
        </w:rPr>
        <w:t xml:space="preserve"> y </w:t>
      </w:r>
      <w:proofErr w:type="spellStart"/>
      <w:r w:rsidRPr="004B4F3F">
        <w:rPr>
          <w:i/>
        </w:rPr>
        <w:t>Tácticas</w:t>
      </w:r>
      <w:proofErr w:type="spellEnd"/>
      <w:r w:rsidRPr="004B4F3F">
        <w:t xml:space="preserve">) toimii käytännössä samalla </w:t>
      </w:r>
      <w:r>
        <w:t>tavalla.</w:t>
      </w:r>
    </w:p>
  </w:footnote>
  <w:footnote w:id="27">
    <w:p w14:paraId="246E7D19" w14:textId="18A39DB0" w:rsidR="00212856" w:rsidRPr="00190007" w:rsidRDefault="00212856" w:rsidP="00064FD5">
      <w:pPr>
        <w:pStyle w:val="Alaviitteenteksti"/>
        <w:jc w:val="left"/>
      </w:pPr>
      <w:r>
        <w:rPr>
          <w:rStyle w:val="Alaviitteenviite"/>
        </w:rPr>
        <w:footnoteRef/>
      </w:r>
      <w:r w:rsidRPr="0043240F">
        <w:rPr>
          <w:color w:val="FF0000"/>
        </w:rPr>
        <w:t xml:space="preserve"> </w:t>
      </w:r>
      <w:r w:rsidRPr="0043240F">
        <w:rPr>
          <w:color w:val="000000" w:themeColor="text1"/>
        </w:rPr>
        <w:t xml:space="preserve">Reuters 13.11.2019. </w:t>
      </w:r>
      <w:r w:rsidR="00BE2BE4">
        <w:rPr>
          <w:color w:val="000000" w:themeColor="text1"/>
        </w:rPr>
        <w:t xml:space="preserve">Artikkelin mukaan </w:t>
      </w:r>
      <w:proofErr w:type="spellStart"/>
      <w:r w:rsidR="00BE2BE4">
        <w:rPr>
          <w:color w:val="000000" w:themeColor="text1"/>
        </w:rPr>
        <w:t>FAES:in</w:t>
      </w:r>
      <w:proofErr w:type="spellEnd"/>
      <w:r w:rsidR="00BE2BE4">
        <w:rPr>
          <w:color w:val="000000" w:themeColor="text1"/>
        </w:rPr>
        <w:t xml:space="preserve"> toiminta alkoi vain kuukausi </w:t>
      </w:r>
      <w:proofErr w:type="spellStart"/>
      <w:r w:rsidR="00BE2BE4">
        <w:rPr>
          <w:color w:val="000000" w:themeColor="text1"/>
        </w:rPr>
        <w:t>Perézin</w:t>
      </w:r>
      <w:proofErr w:type="spellEnd"/>
      <w:r w:rsidR="00BE2BE4">
        <w:rPr>
          <w:color w:val="000000" w:themeColor="text1"/>
        </w:rPr>
        <w:t xml:space="preserve"> hyökkäyksen jälkeen. </w:t>
      </w:r>
      <w:proofErr w:type="spellStart"/>
      <w:r w:rsidR="00BE2BE4">
        <w:rPr>
          <w:color w:val="000000" w:themeColor="text1"/>
        </w:rPr>
        <w:t>FAES:in</w:t>
      </w:r>
      <w:proofErr w:type="spellEnd"/>
      <w:r w:rsidR="00BE2BE4">
        <w:rPr>
          <w:color w:val="000000" w:themeColor="text1"/>
        </w:rPr>
        <w:t xml:space="preserve"> </w:t>
      </w:r>
      <w:r w:rsidR="00B676F4">
        <w:rPr>
          <w:color w:val="000000" w:themeColor="text1"/>
        </w:rPr>
        <w:t>toiminnan</w:t>
      </w:r>
      <w:r w:rsidR="00BB1E8B">
        <w:rPr>
          <w:color w:val="000000" w:themeColor="text1"/>
        </w:rPr>
        <w:t>käynnistys</w:t>
      </w:r>
      <w:r w:rsidR="00BE2BE4">
        <w:rPr>
          <w:color w:val="000000" w:themeColor="text1"/>
        </w:rPr>
        <w:t xml:space="preserve">seremoniassa Nicolás </w:t>
      </w:r>
      <w:proofErr w:type="spellStart"/>
      <w:r w:rsidR="00BE2BE4">
        <w:rPr>
          <w:color w:val="000000" w:themeColor="text1"/>
        </w:rPr>
        <w:t>Maduro</w:t>
      </w:r>
      <w:proofErr w:type="spellEnd"/>
      <w:r w:rsidR="00BE2BE4">
        <w:rPr>
          <w:color w:val="000000" w:themeColor="text1"/>
        </w:rPr>
        <w:t xml:space="preserve"> julisti, että hallintoa tukeva FAES tulisi taistelemaan ”rikollisen oikeiston rohkaisemia terroristiryhmiä” vastaan. FAES jäljitti ja surmasi </w:t>
      </w:r>
      <w:proofErr w:type="spellStart"/>
      <w:r w:rsidR="00BE2BE4">
        <w:rPr>
          <w:color w:val="000000" w:themeColor="text1"/>
        </w:rPr>
        <w:t>Perézin</w:t>
      </w:r>
      <w:proofErr w:type="spellEnd"/>
      <w:r w:rsidR="00BE2BE4">
        <w:rPr>
          <w:color w:val="000000" w:themeColor="text1"/>
        </w:rPr>
        <w:t xml:space="preserve"> tammikuussa 2018. </w:t>
      </w:r>
      <w:proofErr w:type="spellStart"/>
      <w:r w:rsidR="00190007" w:rsidRPr="00190007">
        <w:rPr>
          <w:color w:val="000000" w:themeColor="text1"/>
        </w:rPr>
        <w:t>FAES:in</w:t>
      </w:r>
      <w:proofErr w:type="spellEnd"/>
      <w:r w:rsidR="00190007" w:rsidRPr="00190007">
        <w:rPr>
          <w:color w:val="000000" w:themeColor="text1"/>
        </w:rPr>
        <w:t xml:space="preserve"> perustaminen e</w:t>
      </w:r>
      <w:r w:rsidR="00190007">
        <w:rPr>
          <w:color w:val="000000" w:themeColor="text1"/>
        </w:rPr>
        <w:t>i kuitenkaan</w:t>
      </w:r>
      <w:r w:rsidR="004A2CA1">
        <w:rPr>
          <w:color w:val="000000" w:themeColor="text1"/>
        </w:rPr>
        <w:t xml:space="preserve"> itsessään</w:t>
      </w:r>
      <w:r w:rsidR="00190007">
        <w:rPr>
          <w:color w:val="000000" w:themeColor="text1"/>
        </w:rPr>
        <w:t xml:space="preserve"> liittynyt </w:t>
      </w:r>
      <w:proofErr w:type="spellStart"/>
      <w:r w:rsidR="00190007">
        <w:rPr>
          <w:color w:val="000000" w:themeColor="text1"/>
        </w:rPr>
        <w:t>Perézin</w:t>
      </w:r>
      <w:proofErr w:type="spellEnd"/>
      <w:r w:rsidR="00190007">
        <w:rPr>
          <w:color w:val="000000" w:themeColor="text1"/>
        </w:rPr>
        <w:t xml:space="preserve"> hyökkäykseen</w:t>
      </w:r>
      <w:r w:rsidR="004A2CA1">
        <w:rPr>
          <w:color w:val="000000" w:themeColor="text1"/>
        </w:rPr>
        <w:t xml:space="preserve">. </w:t>
      </w:r>
    </w:p>
  </w:footnote>
  <w:footnote w:id="28">
    <w:p w14:paraId="221D728E" w14:textId="6907B865" w:rsidR="00BE2BE4" w:rsidRDefault="00BE2BE4" w:rsidP="00BE2BE4">
      <w:pPr>
        <w:pStyle w:val="Alaviitteenteksti"/>
        <w:jc w:val="left"/>
      </w:pPr>
      <w:r>
        <w:rPr>
          <w:rStyle w:val="Alaviitteenviite"/>
        </w:rPr>
        <w:footnoteRef/>
      </w:r>
      <w:r>
        <w:t xml:space="preserve"> </w:t>
      </w:r>
      <w:r w:rsidR="003726B0">
        <w:t>UN HRC</w:t>
      </w:r>
      <w:r>
        <w:t xml:space="preserve"> 16.9.2021, s. 78. Tiedonhankintamatkaraportin sivuilla 78–79 avataan laajemminkin </w:t>
      </w:r>
      <w:proofErr w:type="spellStart"/>
      <w:r>
        <w:t>CICPC:n</w:t>
      </w:r>
      <w:proofErr w:type="spellEnd"/>
      <w:r>
        <w:t xml:space="preserve">, </w:t>
      </w:r>
      <w:proofErr w:type="spellStart"/>
      <w:r>
        <w:t>SEBIN:in</w:t>
      </w:r>
      <w:proofErr w:type="spellEnd"/>
      <w:r>
        <w:t xml:space="preserve"> ja </w:t>
      </w:r>
      <w:proofErr w:type="spellStart"/>
      <w:r>
        <w:t>DGCMI:n</w:t>
      </w:r>
      <w:proofErr w:type="spellEnd"/>
      <w:r>
        <w:t xml:space="preserve"> välistä suhdetta.</w:t>
      </w:r>
    </w:p>
  </w:footnote>
  <w:footnote w:id="29">
    <w:p w14:paraId="5EC073BF" w14:textId="12C85B76" w:rsidR="00BE2BE4" w:rsidRPr="003726B0" w:rsidRDefault="00BE2BE4" w:rsidP="00BE2BE4">
      <w:pPr>
        <w:pStyle w:val="Alaviitteenteksti"/>
        <w:jc w:val="left"/>
      </w:pPr>
      <w:r>
        <w:rPr>
          <w:rStyle w:val="Alaviitteenviite"/>
        </w:rPr>
        <w:footnoteRef/>
      </w:r>
      <w:r w:rsidRPr="003726B0">
        <w:t xml:space="preserve"> </w:t>
      </w:r>
      <w:r w:rsidR="003726B0" w:rsidRPr="003726B0">
        <w:t>UN HRC</w:t>
      </w:r>
      <w:r w:rsidRPr="003726B0">
        <w:t xml:space="preserve"> 14.10.2024, s. 34–35.</w:t>
      </w:r>
    </w:p>
  </w:footnote>
  <w:footnote w:id="30">
    <w:p w14:paraId="6AEFD236" w14:textId="4E8A01D3" w:rsidR="00212856" w:rsidRPr="003726B0" w:rsidRDefault="00212856" w:rsidP="00864EFA">
      <w:pPr>
        <w:pStyle w:val="Alaviitteenteksti"/>
        <w:jc w:val="left"/>
      </w:pPr>
      <w:r>
        <w:rPr>
          <w:rStyle w:val="Alaviitteenviite"/>
        </w:rPr>
        <w:footnoteRef/>
      </w:r>
      <w:r w:rsidRPr="003726B0">
        <w:t xml:space="preserve"> Ks. PROVEA / </w:t>
      </w:r>
      <w:proofErr w:type="spellStart"/>
      <w:r w:rsidRPr="003726B0">
        <w:t>Ávila</w:t>
      </w:r>
      <w:proofErr w:type="spellEnd"/>
      <w:r w:rsidRPr="003726B0">
        <w:t xml:space="preserve"> 24.4.2019, s. 3.</w:t>
      </w:r>
    </w:p>
  </w:footnote>
  <w:footnote w:id="31">
    <w:p w14:paraId="10DE39F8" w14:textId="20BE0349" w:rsidR="00212856" w:rsidRPr="00151B14" w:rsidRDefault="00212856" w:rsidP="00726F33">
      <w:pPr>
        <w:pStyle w:val="Alaviitteenteksti"/>
        <w:jc w:val="left"/>
      </w:pPr>
      <w:r>
        <w:rPr>
          <w:rStyle w:val="Alaviitteenviite"/>
        </w:rPr>
        <w:footnoteRef/>
      </w:r>
      <w:r w:rsidRPr="00151B14">
        <w:t xml:space="preserve"> P</w:t>
      </w:r>
      <w:r>
        <w:t>ROVEA</w:t>
      </w:r>
      <w:r w:rsidRPr="00151B14">
        <w:t xml:space="preserve"> / </w:t>
      </w:r>
      <w:proofErr w:type="spellStart"/>
      <w:r w:rsidRPr="00151B14">
        <w:t>Ávila</w:t>
      </w:r>
      <w:proofErr w:type="spellEnd"/>
      <w:r w:rsidRPr="00151B14">
        <w:t xml:space="preserve"> </w:t>
      </w:r>
      <w:r>
        <w:t>24.4.</w:t>
      </w:r>
      <w:r w:rsidRPr="00151B14">
        <w:t xml:space="preserve">2019, s. </w:t>
      </w:r>
      <w:r>
        <w:t>37 &amp; 58.</w:t>
      </w:r>
      <w:r w:rsidRPr="00151B14">
        <w:t xml:space="preserve"> </w:t>
      </w:r>
    </w:p>
  </w:footnote>
  <w:footnote w:id="32">
    <w:p w14:paraId="78BF0EF5" w14:textId="77777777" w:rsidR="00212856" w:rsidRPr="00DD0F85" w:rsidRDefault="00212856" w:rsidP="00064FD5">
      <w:pPr>
        <w:pStyle w:val="Alaviitteenteksti"/>
        <w:jc w:val="left"/>
      </w:pPr>
      <w:r>
        <w:rPr>
          <w:rStyle w:val="Alaviitteenviite"/>
        </w:rPr>
        <w:footnoteRef/>
      </w:r>
      <w:r w:rsidRPr="00DD0F85">
        <w:t xml:space="preserve"> USDOS 23.4.2024, s. 3 &amp; 17.</w:t>
      </w:r>
    </w:p>
  </w:footnote>
  <w:footnote w:id="33">
    <w:p w14:paraId="477CB15D" w14:textId="6E3CF71E" w:rsidR="00013505" w:rsidRDefault="00013505" w:rsidP="00864EFA">
      <w:pPr>
        <w:pStyle w:val="Alaviitteenteksti"/>
        <w:jc w:val="left"/>
      </w:pPr>
      <w:r>
        <w:rPr>
          <w:rStyle w:val="Alaviitteenviite"/>
        </w:rPr>
        <w:footnoteRef/>
      </w:r>
      <w:r>
        <w:t xml:space="preserve"> </w:t>
      </w:r>
      <w:r w:rsidR="00564E3F">
        <w:t>UN HRC</w:t>
      </w:r>
      <w:r w:rsidR="00564E3F" w:rsidRPr="002F0090">
        <w:t xml:space="preserve"> 14.10.2024</w:t>
      </w:r>
      <w:r w:rsidR="00564E3F">
        <w:t xml:space="preserve">, </w:t>
      </w:r>
      <w:r>
        <w:t>s. 33</w:t>
      </w:r>
      <w:r w:rsidR="00564E3F">
        <w:t>;</w:t>
      </w:r>
      <w:r w:rsidR="00C37AEA">
        <w:t xml:space="preserve"> 47</w:t>
      </w:r>
      <w:r w:rsidR="00564E3F">
        <w:t>;</w:t>
      </w:r>
      <w:r w:rsidR="001F630E">
        <w:t xml:space="preserve"> 139</w:t>
      </w:r>
      <w:r w:rsidR="00D516F2">
        <w:t>.</w:t>
      </w:r>
    </w:p>
  </w:footnote>
  <w:footnote w:id="34">
    <w:p w14:paraId="5D9BA207" w14:textId="30F40982" w:rsidR="00013505" w:rsidRDefault="00013505" w:rsidP="00864EFA">
      <w:pPr>
        <w:pStyle w:val="Alaviitteenteksti"/>
        <w:jc w:val="left"/>
      </w:pPr>
      <w:r>
        <w:rPr>
          <w:rStyle w:val="Alaviitteenviite"/>
        </w:rPr>
        <w:footnoteRef/>
      </w:r>
      <w:r>
        <w:t xml:space="preserve"> </w:t>
      </w:r>
      <w:r w:rsidR="00564E3F">
        <w:t>UN HRC</w:t>
      </w:r>
      <w:r w:rsidR="00564E3F" w:rsidRPr="002F0090">
        <w:t xml:space="preserve"> 14.10.2024</w:t>
      </w:r>
      <w:r w:rsidR="00564E3F">
        <w:t xml:space="preserve">, </w:t>
      </w:r>
      <w:r>
        <w:t xml:space="preserve">s. </w:t>
      </w:r>
      <w:r w:rsidR="000F2CE2">
        <w:t>34</w:t>
      </w:r>
      <w:r w:rsidR="00564E3F">
        <w:t xml:space="preserve">; </w:t>
      </w:r>
      <w:r>
        <w:t>79</w:t>
      </w:r>
      <w:r w:rsidR="00564E3F">
        <w:t>.</w:t>
      </w:r>
    </w:p>
  </w:footnote>
  <w:footnote w:id="35">
    <w:p w14:paraId="2A4FDDBA" w14:textId="10E0900E" w:rsidR="00013505" w:rsidRDefault="00013505" w:rsidP="00864EFA">
      <w:pPr>
        <w:pStyle w:val="Alaviitteenteksti"/>
        <w:jc w:val="left"/>
      </w:pPr>
      <w:r>
        <w:rPr>
          <w:rStyle w:val="Alaviitteenviite"/>
        </w:rPr>
        <w:footnoteRef/>
      </w:r>
      <w:r>
        <w:t xml:space="preserve"> </w:t>
      </w:r>
      <w:r w:rsidR="00564E3F">
        <w:t>UN HRC</w:t>
      </w:r>
      <w:r w:rsidR="00564E3F" w:rsidRPr="002F0090">
        <w:t xml:space="preserve"> 14.10.2024</w:t>
      </w:r>
      <w:r w:rsidR="00564E3F">
        <w:t xml:space="preserve">, </w:t>
      </w:r>
      <w:r>
        <w:t>s. 39</w:t>
      </w:r>
      <w:r w:rsidR="00564E3F">
        <w:t>.</w:t>
      </w:r>
    </w:p>
  </w:footnote>
  <w:footnote w:id="36">
    <w:p w14:paraId="2987D06F" w14:textId="4AE3C285" w:rsidR="00D516F2" w:rsidRDefault="00D516F2" w:rsidP="00D516F2">
      <w:pPr>
        <w:pStyle w:val="Alaviitteenteksti"/>
        <w:jc w:val="left"/>
      </w:pPr>
      <w:r>
        <w:rPr>
          <w:rStyle w:val="Alaviitteenviite"/>
        </w:rPr>
        <w:footnoteRef/>
      </w:r>
      <w:r>
        <w:t xml:space="preserve"> EUAA 11/2023 [raportti], ks. esim. s. 20; 26; 41; 64; 67.</w:t>
      </w:r>
    </w:p>
  </w:footnote>
  <w:footnote w:id="37">
    <w:p w14:paraId="7E70C544" w14:textId="767F059C" w:rsidR="00355481" w:rsidRDefault="00355481" w:rsidP="00355481">
      <w:pPr>
        <w:pStyle w:val="Alaviitteenteksti"/>
        <w:jc w:val="left"/>
      </w:pPr>
      <w:r>
        <w:rPr>
          <w:rStyle w:val="Alaviitteenviite"/>
        </w:rPr>
        <w:footnoteRef/>
      </w:r>
      <w:r>
        <w:t xml:space="preserve"> </w:t>
      </w:r>
      <w:r w:rsidR="003726B0">
        <w:t>UN HRC</w:t>
      </w:r>
      <w:r>
        <w:t xml:space="preserve"> 16.9.2021, s. 179–180.</w:t>
      </w:r>
    </w:p>
  </w:footnote>
  <w:footnote w:id="38">
    <w:p w14:paraId="474CC2CE" w14:textId="77777777" w:rsidR="00355481" w:rsidRPr="008167F3" w:rsidRDefault="00355481" w:rsidP="00355481">
      <w:pPr>
        <w:pStyle w:val="Alaviitteenteksti"/>
        <w:jc w:val="left"/>
        <w:rPr>
          <w:color w:val="000000" w:themeColor="text1"/>
        </w:rPr>
      </w:pPr>
      <w:r>
        <w:rPr>
          <w:rStyle w:val="Alaviitteenviite"/>
        </w:rPr>
        <w:footnoteRef/>
      </w:r>
      <w:r>
        <w:t xml:space="preserve"> </w:t>
      </w:r>
      <w:r w:rsidRPr="008167F3">
        <w:rPr>
          <w:color w:val="000000" w:themeColor="text1"/>
        </w:rPr>
        <w:t xml:space="preserve">WOLA / </w:t>
      </w:r>
      <w:proofErr w:type="spellStart"/>
      <w:r w:rsidRPr="008167F3">
        <w:rPr>
          <w:color w:val="000000" w:themeColor="text1"/>
        </w:rPr>
        <w:t>Hanson</w:t>
      </w:r>
      <w:proofErr w:type="spellEnd"/>
      <w:r w:rsidRPr="008167F3">
        <w:rPr>
          <w:color w:val="000000" w:themeColor="text1"/>
        </w:rPr>
        <w:t xml:space="preserve"> 24.11.2014.</w:t>
      </w:r>
    </w:p>
  </w:footnote>
  <w:footnote w:id="39">
    <w:p w14:paraId="66DA3179" w14:textId="77777777" w:rsidR="00355481" w:rsidRPr="007B3612" w:rsidRDefault="00355481" w:rsidP="00355481">
      <w:pPr>
        <w:pStyle w:val="Alaviitteenteksti"/>
        <w:jc w:val="left"/>
      </w:pPr>
      <w:r>
        <w:rPr>
          <w:rStyle w:val="Alaviitteenviite"/>
        </w:rPr>
        <w:footnoteRef/>
      </w:r>
      <w:r w:rsidRPr="007B3612">
        <w:t xml:space="preserve"> </w:t>
      </w:r>
      <w:proofErr w:type="spellStart"/>
      <w:r w:rsidRPr="007B3612">
        <w:t>Acceso</w:t>
      </w:r>
      <w:proofErr w:type="spellEnd"/>
      <w:r w:rsidRPr="007B3612">
        <w:t xml:space="preserve"> a la </w:t>
      </w:r>
      <w:proofErr w:type="spellStart"/>
      <w:r w:rsidRPr="007B3612">
        <w:t>Justicia</w:t>
      </w:r>
      <w:proofErr w:type="spellEnd"/>
      <w:r w:rsidRPr="007B3612">
        <w:t xml:space="preserve"> [päiväämätön</w:t>
      </w:r>
      <w:r>
        <w:t>]c. Vuosina 2010–2018 kuolleiden yhteenlaskettu lukumäärä oli 23 688 henkilöä.</w:t>
      </w:r>
    </w:p>
  </w:footnote>
  <w:footnote w:id="40">
    <w:p w14:paraId="1CA32F75" w14:textId="632E645A" w:rsidR="00212856" w:rsidRPr="00887023" w:rsidRDefault="00212856" w:rsidP="00064FD5">
      <w:pPr>
        <w:pStyle w:val="Alaviitteenteksti"/>
        <w:jc w:val="left"/>
      </w:pPr>
      <w:r>
        <w:rPr>
          <w:rStyle w:val="Alaviitteenviite"/>
        </w:rPr>
        <w:footnoteRef/>
      </w:r>
      <w:r w:rsidRPr="00887023">
        <w:rPr>
          <w:lang w:val="en-US"/>
        </w:rPr>
        <w:t xml:space="preserve"> </w:t>
      </w:r>
      <w:r w:rsidR="003726B0" w:rsidRPr="00887023">
        <w:rPr>
          <w:lang w:val="en-US"/>
        </w:rPr>
        <w:t>UN HRC</w:t>
      </w:r>
      <w:r w:rsidRPr="00887023">
        <w:rPr>
          <w:lang w:val="en-US"/>
        </w:rPr>
        <w:t xml:space="preserve"> 16.9.2021, s. 78.</w:t>
      </w:r>
      <w:r w:rsidR="00CF481C" w:rsidRPr="00887023">
        <w:rPr>
          <w:lang w:val="en-US"/>
        </w:rPr>
        <w:t xml:space="preserve"> </w:t>
      </w:r>
      <w:r w:rsidR="00887023" w:rsidRPr="00887023">
        <w:t>Raportis</w:t>
      </w:r>
      <w:r w:rsidR="00887023">
        <w:t>ta ei selviä, onko ”numero yksi” vai ”numero kolme” hierarkiassa korkea-arvoisin asema. Vaikuttaisi kuitenkin siltä, että tutkinnanjohtaja, eli ”numero kolme” on hierarkiassa korkeimmassa asemassa. Esimerkiksi tutkintapoliisin uraan liittyvää hierarkiaa</w:t>
      </w:r>
      <w:r w:rsidR="007E6ACB">
        <w:t xml:space="preserve"> käsittelevässä laissa</w:t>
      </w:r>
      <w:r w:rsidR="00BD4711">
        <w:t xml:space="preserve"> </w:t>
      </w:r>
      <w:r w:rsidR="007E6ACB">
        <w:t>”1. taso” kuvaa hierarkia</w:t>
      </w:r>
      <w:r w:rsidR="00BD4711">
        <w:t>n</w:t>
      </w:r>
      <w:r w:rsidR="007E6ACB">
        <w:t xml:space="preserve"> alinta tasoa ja </w:t>
      </w:r>
      <w:r w:rsidR="00887023">
        <w:t>”</w:t>
      </w:r>
      <w:r w:rsidR="00BD4711">
        <w:t xml:space="preserve">3. </w:t>
      </w:r>
      <w:r w:rsidR="007E6ACB">
        <w:t>taso</w:t>
      </w:r>
      <w:r w:rsidR="00887023">
        <w:t xml:space="preserve">” </w:t>
      </w:r>
      <w:r w:rsidR="00BD4711">
        <w:t>ylintä</w:t>
      </w:r>
      <w:r w:rsidR="00887023">
        <w:t xml:space="preserve">. </w:t>
      </w:r>
      <w:r w:rsidR="00887023" w:rsidRPr="00887023">
        <w:t xml:space="preserve">Ks. lain artikla 32: </w:t>
      </w:r>
      <w:hyperlink r:id="rId5" w:history="1">
        <w:r w:rsidR="00887023" w:rsidRPr="00887023">
          <w:rPr>
            <w:rStyle w:val="Hyperlinkki"/>
          </w:rPr>
          <w:t>https://www.alc.com.ve/wp-content/uploads/2024/09/Ley-del-Estatuto-de-la-Funcion-de-la-Policia-de-Investigacion-.pdf</w:t>
        </w:r>
      </w:hyperlink>
      <w:r w:rsidR="00887023" w:rsidRPr="00887023">
        <w:t xml:space="preserve"> (k</w:t>
      </w:r>
      <w:r w:rsidR="00887023">
        <w:t xml:space="preserve">äyty 25.11.2024). </w:t>
      </w:r>
    </w:p>
  </w:footnote>
  <w:footnote w:id="41">
    <w:p w14:paraId="6C8D5E57" w14:textId="29FA3484" w:rsidR="00212856" w:rsidRPr="00887023" w:rsidRDefault="00212856" w:rsidP="00864EFA">
      <w:pPr>
        <w:pStyle w:val="Alaviitteenteksti"/>
        <w:jc w:val="left"/>
      </w:pPr>
      <w:r>
        <w:rPr>
          <w:rStyle w:val="Alaviitteenviite"/>
        </w:rPr>
        <w:footnoteRef/>
      </w:r>
      <w:r w:rsidRPr="00887023">
        <w:t xml:space="preserve"> </w:t>
      </w:r>
      <w:r w:rsidR="003726B0" w:rsidRPr="00887023">
        <w:rPr>
          <w:color w:val="000000" w:themeColor="text1"/>
        </w:rPr>
        <w:t>UN HRC</w:t>
      </w:r>
      <w:r w:rsidRPr="00887023">
        <w:rPr>
          <w:color w:val="000000" w:themeColor="text1"/>
        </w:rPr>
        <w:t xml:space="preserve"> 15.9.2020, s. 405.</w:t>
      </w:r>
    </w:p>
  </w:footnote>
  <w:footnote w:id="42">
    <w:p w14:paraId="46D2F17F" w14:textId="1ACB2A27" w:rsidR="00212856" w:rsidRPr="00355481" w:rsidRDefault="00212856" w:rsidP="00864EFA">
      <w:pPr>
        <w:pStyle w:val="Alaviitteenteksti"/>
        <w:jc w:val="left"/>
        <w:rPr>
          <w:lang w:val="en-US"/>
        </w:rPr>
      </w:pPr>
      <w:r>
        <w:rPr>
          <w:rStyle w:val="Alaviitteenviite"/>
        </w:rPr>
        <w:footnoteRef/>
      </w:r>
      <w:r w:rsidRPr="00355481">
        <w:rPr>
          <w:lang w:val="en-US"/>
        </w:rPr>
        <w:t xml:space="preserve"> </w:t>
      </w:r>
      <w:r w:rsidRPr="00355481">
        <w:rPr>
          <w:color w:val="000000" w:themeColor="text1"/>
          <w:lang w:val="en-US"/>
        </w:rPr>
        <w:t>Reuters 13.11.2019.</w:t>
      </w:r>
    </w:p>
  </w:footnote>
  <w:footnote w:id="43">
    <w:p w14:paraId="20FB87AC" w14:textId="2C7FC12F" w:rsidR="00212856" w:rsidRPr="00355481" w:rsidRDefault="00212856" w:rsidP="00864EFA">
      <w:pPr>
        <w:pStyle w:val="Alaviitteenteksti"/>
        <w:jc w:val="left"/>
        <w:rPr>
          <w:color w:val="FF0000"/>
          <w:lang w:val="en-US"/>
        </w:rPr>
      </w:pPr>
      <w:r>
        <w:rPr>
          <w:rStyle w:val="Alaviitteenviite"/>
        </w:rPr>
        <w:footnoteRef/>
      </w:r>
      <w:r w:rsidRPr="00355481">
        <w:rPr>
          <w:lang w:val="en-US"/>
        </w:rPr>
        <w:t xml:space="preserve"> </w:t>
      </w:r>
      <w:r w:rsidRPr="00355481">
        <w:rPr>
          <w:color w:val="000000" w:themeColor="text1"/>
          <w:lang w:val="en-US"/>
        </w:rPr>
        <w:t>HRW 4.9.2024.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212856" w:rsidRPr="00A058E4" w14:paraId="0696AF8D" w14:textId="77777777" w:rsidTr="00110B17">
      <w:trPr>
        <w:tblHeader/>
      </w:trPr>
      <w:tc>
        <w:tcPr>
          <w:tcW w:w="3005" w:type="dxa"/>
          <w:tcBorders>
            <w:top w:val="nil"/>
            <w:left w:val="nil"/>
            <w:bottom w:val="nil"/>
            <w:right w:val="nil"/>
          </w:tcBorders>
        </w:tcPr>
        <w:p w14:paraId="3ACFCF92" w14:textId="77777777" w:rsidR="00212856" w:rsidRPr="00A058E4" w:rsidRDefault="00212856">
          <w:pPr>
            <w:pStyle w:val="Yltunniste"/>
            <w:rPr>
              <w:sz w:val="16"/>
              <w:szCs w:val="16"/>
            </w:rPr>
          </w:pPr>
        </w:p>
      </w:tc>
      <w:tc>
        <w:tcPr>
          <w:tcW w:w="3005" w:type="dxa"/>
          <w:tcBorders>
            <w:top w:val="nil"/>
            <w:left w:val="nil"/>
            <w:bottom w:val="nil"/>
            <w:right w:val="nil"/>
          </w:tcBorders>
        </w:tcPr>
        <w:p w14:paraId="515AE9C2" w14:textId="77777777" w:rsidR="00212856" w:rsidRPr="00A058E4" w:rsidRDefault="00212856">
          <w:pPr>
            <w:pStyle w:val="Yltunniste"/>
            <w:rPr>
              <w:b/>
              <w:sz w:val="16"/>
              <w:szCs w:val="16"/>
            </w:rPr>
          </w:pPr>
        </w:p>
      </w:tc>
      <w:tc>
        <w:tcPr>
          <w:tcW w:w="3006" w:type="dxa"/>
          <w:tcBorders>
            <w:top w:val="nil"/>
            <w:left w:val="nil"/>
            <w:bottom w:val="nil"/>
            <w:right w:val="nil"/>
          </w:tcBorders>
        </w:tcPr>
        <w:p w14:paraId="27C68986" w14:textId="77777777" w:rsidR="00212856" w:rsidRPr="001D63F6" w:rsidRDefault="00212856"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212856" w:rsidRPr="00A058E4" w14:paraId="6F6ACACC" w14:textId="77777777" w:rsidTr="00421708">
      <w:tc>
        <w:tcPr>
          <w:tcW w:w="3005" w:type="dxa"/>
          <w:tcBorders>
            <w:top w:val="nil"/>
            <w:left w:val="nil"/>
            <w:bottom w:val="nil"/>
            <w:right w:val="nil"/>
          </w:tcBorders>
        </w:tcPr>
        <w:p w14:paraId="5DD96DD7" w14:textId="77777777" w:rsidR="00212856" w:rsidRPr="00A058E4" w:rsidRDefault="00212856">
          <w:pPr>
            <w:pStyle w:val="Yltunniste"/>
            <w:rPr>
              <w:sz w:val="16"/>
              <w:szCs w:val="16"/>
            </w:rPr>
          </w:pPr>
        </w:p>
      </w:tc>
      <w:tc>
        <w:tcPr>
          <w:tcW w:w="3005" w:type="dxa"/>
          <w:tcBorders>
            <w:top w:val="nil"/>
            <w:left w:val="nil"/>
            <w:bottom w:val="nil"/>
            <w:right w:val="nil"/>
          </w:tcBorders>
        </w:tcPr>
        <w:p w14:paraId="7957C517" w14:textId="77777777" w:rsidR="00212856" w:rsidRPr="00A058E4" w:rsidRDefault="00212856">
          <w:pPr>
            <w:pStyle w:val="Yltunniste"/>
            <w:rPr>
              <w:sz w:val="16"/>
              <w:szCs w:val="16"/>
            </w:rPr>
          </w:pPr>
        </w:p>
      </w:tc>
      <w:tc>
        <w:tcPr>
          <w:tcW w:w="3006" w:type="dxa"/>
          <w:tcBorders>
            <w:top w:val="nil"/>
            <w:left w:val="nil"/>
            <w:bottom w:val="nil"/>
            <w:right w:val="nil"/>
          </w:tcBorders>
        </w:tcPr>
        <w:p w14:paraId="37310A74" w14:textId="77777777" w:rsidR="00212856" w:rsidRPr="00A058E4" w:rsidRDefault="00212856" w:rsidP="00A058E4">
          <w:pPr>
            <w:pStyle w:val="Yltunniste"/>
            <w:jc w:val="right"/>
            <w:rPr>
              <w:sz w:val="16"/>
              <w:szCs w:val="16"/>
            </w:rPr>
          </w:pPr>
        </w:p>
      </w:tc>
    </w:tr>
    <w:tr w:rsidR="00212856" w:rsidRPr="00A058E4" w14:paraId="167BDAE2" w14:textId="77777777" w:rsidTr="00421708">
      <w:tc>
        <w:tcPr>
          <w:tcW w:w="3005" w:type="dxa"/>
          <w:tcBorders>
            <w:top w:val="nil"/>
            <w:left w:val="nil"/>
            <w:bottom w:val="nil"/>
            <w:right w:val="nil"/>
          </w:tcBorders>
        </w:tcPr>
        <w:p w14:paraId="6EF2D8F6" w14:textId="77777777" w:rsidR="00212856" w:rsidRPr="00A058E4" w:rsidRDefault="00212856">
          <w:pPr>
            <w:pStyle w:val="Yltunniste"/>
            <w:rPr>
              <w:sz w:val="16"/>
              <w:szCs w:val="16"/>
            </w:rPr>
          </w:pPr>
        </w:p>
      </w:tc>
      <w:tc>
        <w:tcPr>
          <w:tcW w:w="3005" w:type="dxa"/>
          <w:tcBorders>
            <w:top w:val="nil"/>
            <w:left w:val="nil"/>
            <w:bottom w:val="nil"/>
            <w:right w:val="nil"/>
          </w:tcBorders>
        </w:tcPr>
        <w:p w14:paraId="757A4216" w14:textId="77777777" w:rsidR="00212856" w:rsidRPr="00A058E4" w:rsidRDefault="00212856">
          <w:pPr>
            <w:pStyle w:val="Yltunniste"/>
            <w:rPr>
              <w:sz w:val="16"/>
              <w:szCs w:val="16"/>
            </w:rPr>
          </w:pPr>
        </w:p>
      </w:tc>
      <w:tc>
        <w:tcPr>
          <w:tcW w:w="3006" w:type="dxa"/>
          <w:tcBorders>
            <w:top w:val="nil"/>
            <w:left w:val="nil"/>
            <w:bottom w:val="nil"/>
            <w:right w:val="nil"/>
          </w:tcBorders>
        </w:tcPr>
        <w:p w14:paraId="6E463568" w14:textId="77777777" w:rsidR="00212856" w:rsidRPr="00A058E4" w:rsidRDefault="00212856" w:rsidP="00A058E4">
          <w:pPr>
            <w:pStyle w:val="Yltunniste"/>
            <w:jc w:val="right"/>
            <w:rPr>
              <w:sz w:val="16"/>
              <w:szCs w:val="16"/>
            </w:rPr>
          </w:pPr>
        </w:p>
      </w:tc>
    </w:tr>
  </w:tbl>
  <w:p w14:paraId="2888CC92" w14:textId="77777777" w:rsidR="00212856" w:rsidRDefault="00212856">
    <w:pPr>
      <w:pStyle w:val="Yltunniste"/>
    </w:pPr>
    <w:r>
      <w:rPr>
        <w:noProof/>
        <w:sz w:val="16"/>
        <w:szCs w:val="16"/>
        <w:lang w:eastAsia="fi-FI"/>
      </w:rPr>
      <w:drawing>
        <wp:anchor distT="0" distB="0" distL="114300" distR="114300" simplePos="0" relativeHeight="251680768" behindDoc="0" locked="0" layoutInCell="1" allowOverlap="1" wp14:anchorId="5E5781F9" wp14:editId="5E22251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212856" w:rsidRPr="00A058E4" w14:paraId="462111CB" w14:textId="77777777" w:rsidTr="004B2B44">
      <w:tc>
        <w:tcPr>
          <w:tcW w:w="3005" w:type="dxa"/>
          <w:tcBorders>
            <w:top w:val="nil"/>
            <w:left w:val="nil"/>
            <w:bottom w:val="nil"/>
            <w:right w:val="nil"/>
          </w:tcBorders>
        </w:tcPr>
        <w:p w14:paraId="220802F5" w14:textId="77777777" w:rsidR="00212856" w:rsidRPr="00A058E4" w:rsidRDefault="00212856">
          <w:pPr>
            <w:pStyle w:val="Yltunniste"/>
            <w:rPr>
              <w:sz w:val="16"/>
              <w:szCs w:val="16"/>
            </w:rPr>
          </w:pPr>
        </w:p>
      </w:tc>
      <w:tc>
        <w:tcPr>
          <w:tcW w:w="3005" w:type="dxa"/>
          <w:tcBorders>
            <w:top w:val="nil"/>
            <w:left w:val="nil"/>
            <w:bottom w:val="nil"/>
            <w:right w:val="nil"/>
          </w:tcBorders>
        </w:tcPr>
        <w:p w14:paraId="286645D3" w14:textId="77777777" w:rsidR="00212856" w:rsidRPr="00A058E4" w:rsidRDefault="00212856">
          <w:pPr>
            <w:pStyle w:val="Yltunniste"/>
            <w:rPr>
              <w:b/>
              <w:sz w:val="16"/>
              <w:szCs w:val="16"/>
            </w:rPr>
          </w:pPr>
        </w:p>
      </w:tc>
      <w:tc>
        <w:tcPr>
          <w:tcW w:w="3006" w:type="dxa"/>
          <w:tcBorders>
            <w:top w:val="nil"/>
            <w:left w:val="nil"/>
            <w:bottom w:val="nil"/>
            <w:right w:val="nil"/>
          </w:tcBorders>
        </w:tcPr>
        <w:p w14:paraId="76917ACD" w14:textId="77777777" w:rsidR="00212856" w:rsidRPr="00A058E4" w:rsidRDefault="00212856"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2</w:t>
          </w:r>
          <w:r>
            <w:rPr>
              <w:noProof/>
              <w:sz w:val="16"/>
              <w:szCs w:val="16"/>
            </w:rPr>
            <w:fldChar w:fldCharType="end"/>
          </w:r>
          <w:r>
            <w:rPr>
              <w:noProof/>
              <w:sz w:val="16"/>
              <w:szCs w:val="16"/>
            </w:rPr>
            <w:t>)</w:t>
          </w:r>
        </w:p>
      </w:tc>
    </w:tr>
    <w:tr w:rsidR="00212856" w:rsidRPr="00A058E4" w14:paraId="0D07ED24" w14:textId="77777777" w:rsidTr="004B2B44">
      <w:tc>
        <w:tcPr>
          <w:tcW w:w="3005" w:type="dxa"/>
          <w:tcBorders>
            <w:top w:val="nil"/>
            <w:left w:val="nil"/>
            <w:bottom w:val="nil"/>
            <w:right w:val="nil"/>
          </w:tcBorders>
        </w:tcPr>
        <w:p w14:paraId="7DB47461" w14:textId="77777777" w:rsidR="00212856" w:rsidRPr="00A058E4" w:rsidRDefault="00212856">
          <w:pPr>
            <w:pStyle w:val="Yltunniste"/>
            <w:rPr>
              <w:sz w:val="16"/>
              <w:szCs w:val="16"/>
            </w:rPr>
          </w:pPr>
        </w:p>
      </w:tc>
      <w:tc>
        <w:tcPr>
          <w:tcW w:w="3005" w:type="dxa"/>
          <w:tcBorders>
            <w:top w:val="nil"/>
            <w:left w:val="nil"/>
            <w:bottom w:val="nil"/>
            <w:right w:val="nil"/>
          </w:tcBorders>
        </w:tcPr>
        <w:p w14:paraId="0EE1B310" w14:textId="77777777" w:rsidR="00212856" w:rsidRPr="00A058E4" w:rsidRDefault="00212856">
          <w:pPr>
            <w:pStyle w:val="Yltunniste"/>
            <w:rPr>
              <w:sz w:val="16"/>
              <w:szCs w:val="16"/>
            </w:rPr>
          </w:pPr>
        </w:p>
      </w:tc>
      <w:tc>
        <w:tcPr>
          <w:tcW w:w="3006" w:type="dxa"/>
          <w:tcBorders>
            <w:top w:val="nil"/>
            <w:left w:val="nil"/>
            <w:bottom w:val="nil"/>
            <w:right w:val="nil"/>
          </w:tcBorders>
        </w:tcPr>
        <w:p w14:paraId="039F302D" w14:textId="77777777" w:rsidR="00212856" w:rsidRPr="00A058E4" w:rsidRDefault="00212856" w:rsidP="00A058E4">
          <w:pPr>
            <w:pStyle w:val="Yltunniste"/>
            <w:jc w:val="right"/>
            <w:rPr>
              <w:sz w:val="16"/>
              <w:szCs w:val="16"/>
            </w:rPr>
          </w:pPr>
        </w:p>
      </w:tc>
    </w:tr>
    <w:tr w:rsidR="00212856" w:rsidRPr="00A058E4" w14:paraId="445E99AE" w14:textId="77777777" w:rsidTr="004B2B44">
      <w:tc>
        <w:tcPr>
          <w:tcW w:w="3005" w:type="dxa"/>
          <w:tcBorders>
            <w:top w:val="nil"/>
            <w:left w:val="nil"/>
            <w:bottom w:val="nil"/>
            <w:right w:val="nil"/>
          </w:tcBorders>
        </w:tcPr>
        <w:p w14:paraId="042139CD" w14:textId="77777777" w:rsidR="00212856" w:rsidRPr="00A058E4" w:rsidRDefault="00212856">
          <w:pPr>
            <w:pStyle w:val="Yltunniste"/>
            <w:rPr>
              <w:sz w:val="16"/>
              <w:szCs w:val="16"/>
            </w:rPr>
          </w:pPr>
        </w:p>
      </w:tc>
      <w:tc>
        <w:tcPr>
          <w:tcW w:w="3005" w:type="dxa"/>
          <w:tcBorders>
            <w:top w:val="nil"/>
            <w:left w:val="nil"/>
            <w:bottom w:val="nil"/>
            <w:right w:val="nil"/>
          </w:tcBorders>
        </w:tcPr>
        <w:p w14:paraId="09B31809" w14:textId="77777777" w:rsidR="00212856" w:rsidRPr="00A058E4" w:rsidRDefault="00212856">
          <w:pPr>
            <w:pStyle w:val="Yltunniste"/>
            <w:rPr>
              <w:sz w:val="16"/>
              <w:szCs w:val="16"/>
            </w:rPr>
          </w:pPr>
        </w:p>
      </w:tc>
      <w:tc>
        <w:tcPr>
          <w:tcW w:w="3006" w:type="dxa"/>
          <w:tcBorders>
            <w:top w:val="nil"/>
            <w:left w:val="nil"/>
            <w:bottom w:val="nil"/>
            <w:right w:val="nil"/>
          </w:tcBorders>
        </w:tcPr>
        <w:p w14:paraId="36ADCB57" w14:textId="77777777" w:rsidR="00212856" w:rsidRPr="00A058E4" w:rsidRDefault="00212856" w:rsidP="00A058E4">
          <w:pPr>
            <w:pStyle w:val="Yltunniste"/>
            <w:jc w:val="right"/>
            <w:rPr>
              <w:sz w:val="16"/>
              <w:szCs w:val="16"/>
            </w:rPr>
          </w:pPr>
        </w:p>
      </w:tc>
    </w:tr>
  </w:tbl>
  <w:p w14:paraId="7C3A7037" w14:textId="77777777" w:rsidR="00212856" w:rsidRPr="008020E6" w:rsidRDefault="00212856"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F6CCCF" wp14:editId="3D1C040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96E72B0"/>
    <w:multiLevelType w:val="hybridMultilevel"/>
    <w:tmpl w:val="3DEACBD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566ED2"/>
    <w:multiLevelType w:val="hybridMultilevel"/>
    <w:tmpl w:val="BC9419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8E2419"/>
    <w:multiLevelType w:val="hybridMultilevel"/>
    <w:tmpl w:val="5460554C"/>
    <w:lvl w:ilvl="0" w:tplc="E9F043A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1873986"/>
    <w:multiLevelType w:val="hybridMultilevel"/>
    <w:tmpl w:val="D104FD0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0B2B84"/>
    <w:multiLevelType w:val="hybridMultilevel"/>
    <w:tmpl w:val="7068D9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5"/>
  </w:num>
  <w:num w:numId="3">
    <w:abstractNumId w:val="17"/>
  </w:num>
  <w:num w:numId="4">
    <w:abstractNumId w:val="15"/>
  </w:num>
  <w:num w:numId="5">
    <w:abstractNumId w:val="13"/>
  </w:num>
  <w:num w:numId="6">
    <w:abstractNumId w:val="19"/>
  </w:num>
  <w:num w:numId="7">
    <w:abstractNumId w:val="23"/>
  </w:num>
  <w:num w:numId="8">
    <w:abstractNumId w:val="22"/>
  </w:num>
  <w:num w:numId="9">
    <w:abstractNumId w:val="22"/>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3"/>
  </w:num>
  <w:num w:numId="16">
    <w:abstractNumId w:val="3"/>
  </w:num>
  <w:num w:numId="17">
    <w:abstractNumId w:val="1"/>
  </w:num>
  <w:num w:numId="18">
    <w:abstractNumId w:val="21"/>
  </w:num>
  <w:num w:numId="19">
    <w:abstractNumId w:val="20"/>
  </w:num>
  <w:num w:numId="20">
    <w:abstractNumId w:val="28"/>
  </w:num>
  <w:num w:numId="21">
    <w:abstractNumId w:val="8"/>
  </w:num>
  <w:num w:numId="22">
    <w:abstractNumId w:val="26"/>
  </w:num>
  <w:num w:numId="23">
    <w:abstractNumId w:val="5"/>
  </w:num>
  <w:num w:numId="24">
    <w:abstractNumId w:val="10"/>
  </w:num>
  <w:num w:numId="25">
    <w:abstractNumId w:val="0"/>
  </w:num>
  <w:num w:numId="26">
    <w:abstractNumId w:val="27"/>
  </w:num>
  <w:num w:numId="27">
    <w:abstractNumId w:val="11"/>
  </w:num>
  <w:num w:numId="28">
    <w:abstractNumId w:val="7"/>
  </w:num>
  <w:num w:numId="29">
    <w:abstractNumId w:val="18"/>
  </w:num>
  <w:num w:numId="30">
    <w:abstractNumId w:val="4"/>
  </w:num>
  <w:num w:numId="31">
    <w:abstractNumId w:val="4"/>
  </w:num>
  <w:num w:numId="32">
    <w:abstractNumId w:val="4"/>
  </w:num>
  <w:num w:numId="33">
    <w:abstractNumId w:val="4"/>
  </w:num>
  <w:num w:numId="34">
    <w:abstractNumId w:val="24"/>
  </w:num>
  <w:num w:numId="35">
    <w:abstractNumId w:val="9"/>
  </w:num>
  <w:num w:numId="36">
    <w:abstractNumId w:val="2"/>
  </w:num>
  <w:num w:numId="37">
    <w:abstractNumId w:val="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753E"/>
    <w:rsid w:val="00010C97"/>
    <w:rsid w:val="000112CA"/>
    <w:rsid w:val="00011B48"/>
    <w:rsid w:val="00012286"/>
    <w:rsid w:val="0001289F"/>
    <w:rsid w:val="00012EC0"/>
    <w:rsid w:val="00013505"/>
    <w:rsid w:val="00013B40"/>
    <w:rsid w:val="00013D2C"/>
    <w:rsid w:val="00013F3D"/>
    <w:rsid w:val="000140FF"/>
    <w:rsid w:val="0001727C"/>
    <w:rsid w:val="00021D9E"/>
    <w:rsid w:val="00022D94"/>
    <w:rsid w:val="000230CD"/>
    <w:rsid w:val="00023864"/>
    <w:rsid w:val="00026220"/>
    <w:rsid w:val="000279BD"/>
    <w:rsid w:val="000311A1"/>
    <w:rsid w:val="0003261B"/>
    <w:rsid w:val="00032BC9"/>
    <w:rsid w:val="00036C21"/>
    <w:rsid w:val="00042E96"/>
    <w:rsid w:val="000434C4"/>
    <w:rsid w:val="000449EA"/>
    <w:rsid w:val="000455E3"/>
    <w:rsid w:val="00046189"/>
    <w:rsid w:val="00046783"/>
    <w:rsid w:val="00053A94"/>
    <w:rsid w:val="000564EB"/>
    <w:rsid w:val="0006266A"/>
    <w:rsid w:val="00064FD5"/>
    <w:rsid w:val="000663E8"/>
    <w:rsid w:val="00067A5E"/>
    <w:rsid w:val="0007094E"/>
    <w:rsid w:val="00072438"/>
    <w:rsid w:val="000725DF"/>
    <w:rsid w:val="00073D79"/>
    <w:rsid w:val="00082DFE"/>
    <w:rsid w:val="00091D92"/>
    <w:rsid w:val="0009323F"/>
    <w:rsid w:val="000A2DC6"/>
    <w:rsid w:val="000A54E9"/>
    <w:rsid w:val="000B19AE"/>
    <w:rsid w:val="000B3472"/>
    <w:rsid w:val="000B7ABB"/>
    <w:rsid w:val="000D45F8"/>
    <w:rsid w:val="000D7188"/>
    <w:rsid w:val="000E1A4B"/>
    <w:rsid w:val="000E2D54"/>
    <w:rsid w:val="000E693C"/>
    <w:rsid w:val="000E6A41"/>
    <w:rsid w:val="000F2CE2"/>
    <w:rsid w:val="000F4AD8"/>
    <w:rsid w:val="000F528D"/>
    <w:rsid w:val="000F5E0F"/>
    <w:rsid w:val="000F6F25"/>
    <w:rsid w:val="000F793B"/>
    <w:rsid w:val="0010706E"/>
    <w:rsid w:val="00110468"/>
    <w:rsid w:val="00110B17"/>
    <w:rsid w:val="00117EA9"/>
    <w:rsid w:val="00122D6C"/>
    <w:rsid w:val="00131B7A"/>
    <w:rsid w:val="001360E5"/>
    <w:rsid w:val="001366EE"/>
    <w:rsid w:val="00136FEB"/>
    <w:rsid w:val="00142486"/>
    <w:rsid w:val="00143043"/>
    <w:rsid w:val="001455B4"/>
    <w:rsid w:val="00145ECA"/>
    <w:rsid w:val="00151B14"/>
    <w:rsid w:val="0015362E"/>
    <w:rsid w:val="0016200F"/>
    <w:rsid w:val="001678AD"/>
    <w:rsid w:val="00171F73"/>
    <w:rsid w:val="001741CB"/>
    <w:rsid w:val="001758C8"/>
    <w:rsid w:val="0018118D"/>
    <w:rsid w:val="00190007"/>
    <w:rsid w:val="001951CB"/>
    <w:rsid w:val="0019524D"/>
    <w:rsid w:val="00195763"/>
    <w:rsid w:val="001A392D"/>
    <w:rsid w:val="001A4752"/>
    <w:rsid w:val="001B2917"/>
    <w:rsid w:val="001B5A04"/>
    <w:rsid w:val="001B6B07"/>
    <w:rsid w:val="001C0382"/>
    <w:rsid w:val="001C076A"/>
    <w:rsid w:val="001C2A8A"/>
    <w:rsid w:val="001C3EB2"/>
    <w:rsid w:val="001C422A"/>
    <w:rsid w:val="001D015C"/>
    <w:rsid w:val="001D1831"/>
    <w:rsid w:val="001D587F"/>
    <w:rsid w:val="001D5A81"/>
    <w:rsid w:val="001D5CAA"/>
    <w:rsid w:val="001D63F6"/>
    <w:rsid w:val="001E19CE"/>
    <w:rsid w:val="001E21A8"/>
    <w:rsid w:val="001E40F5"/>
    <w:rsid w:val="001F1B08"/>
    <w:rsid w:val="001F44AC"/>
    <w:rsid w:val="001F630E"/>
    <w:rsid w:val="001F724B"/>
    <w:rsid w:val="00201B3A"/>
    <w:rsid w:val="00206DFC"/>
    <w:rsid w:val="00212856"/>
    <w:rsid w:val="00212A27"/>
    <w:rsid w:val="00216561"/>
    <w:rsid w:val="002248A2"/>
    <w:rsid w:val="00224FD6"/>
    <w:rsid w:val="0022712B"/>
    <w:rsid w:val="00231C6F"/>
    <w:rsid w:val="002350CB"/>
    <w:rsid w:val="00237C15"/>
    <w:rsid w:val="00240762"/>
    <w:rsid w:val="00252ACA"/>
    <w:rsid w:val="00252F50"/>
    <w:rsid w:val="00253B21"/>
    <w:rsid w:val="002571E9"/>
    <w:rsid w:val="0025735B"/>
    <w:rsid w:val="002629C5"/>
    <w:rsid w:val="00263B20"/>
    <w:rsid w:val="00264F0A"/>
    <w:rsid w:val="00267906"/>
    <w:rsid w:val="00267E88"/>
    <w:rsid w:val="00272D9D"/>
    <w:rsid w:val="00273C5C"/>
    <w:rsid w:val="0029449E"/>
    <w:rsid w:val="002A26FF"/>
    <w:rsid w:val="002A46D2"/>
    <w:rsid w:val="002A6054"/>
    <w:rsid w:val="002A6317"/>
    <w:rsid w:val="002B4F5C"/>
    <w:rsid w:val="002B5E48"/>
    <w:rsid w:val="002B7412"/>
    <w:rsid w:val="002C2668"/>
    <w:rsid w:val="002C47D6"/>
    <w:rsid w:val="002C4FEA"/>
    <w:rsid w:val="002C656A"/>
    <w:rsid w:val="002C70DF"/>
    <w:rsid w:val="002D0032"/>
    <w:rsid w:val="002D2E93"/>
    <w:rsid w:val="002D4734"/>
    <w:rsid w:val="002D70EF"/>
    <w:rsid w:val="002D7383"/>
    <w:rsid w:val="002E0B87"/>
    <w:rsid w:val="002E5165"/>
    <w:rsid w:val="002E56CC"/>
    <w:rsid w:val="002E7DCF"/>
    <w:rsid w:val="002F0090"/>
    <w:rsid w:val="002F14A4"/>
    <w:rsid w:val="003077A4"/>
    <w:rsid w:val="003135FC"/>
    <w:rsid w:val="00313CBC"/>
    <w:rsid w:val="00313CBF"/>
    <w:rsid w:val="003168F9"/>
    <w:rsid w:val="0032021E"/>
    <w:rsid w:val="003226F0"/>
    <w:rsid w:val="00332E19"/>
    <w:rsid w:val="00335D68"/>
    <w:rsid w:val="0033622F"/>
    <w:rsid w:val="00337E76"/>
    <w:rsid w:val="00342A30"/>
    <w:rsid w:val="00351B7D"/>
    <w:rsid w:val="00354E21"/>
    <w:rsid w:val="00355481"/>
    <w:rsid w:val="00365407"/>
    <w:rsid w:val="003672AA"/>
    <w:rsid w:val="003673C0"/>
    <w:rsid w:val="00367D2C"/>
    <w:rsid w:val="00370E4F"/>
    <w:rsid w:val="003726B0"/>
    <w:rsid w:val="00373713"/>
    <w:rsid w:val="00373C65"/>
    <w:rsid w:val="00376326"/>
    <w:rsid w:val="00377AEB"/>
    <w:rsid w:val="00382A15"/>
    <w:rsid w:val="0038473B"/>
    <w:rsid w:val="00385B1D"/>
    <w:rsid w:val="00386CB9"/>
    <w:rsid w:val="00390DB7"/>
    <w:rsid w:val="0039232D"/>
    <w:rsid w:val="003964A3"/>
    <w:rsid w:val="003976AD"/>
    <w:rsid w:val="003A0D6A"/>
    <w:rsid w:val="003B0C69"/>
    <w:rsid w:val="003B144B"/>
    <w:rsid w:val="003B1D21"/>
    <w:rsid w:val="003B3150"/>
    <w:rsid w:val="003C4049"/>
    <w:rsid w:val="003C43BA"/>
    <w:rsid w:val="003C5382"/>
    <w:rsid w:val="003D0AB9"/>
    <w:rsid w:val="003D1ED4"/>
    <w:rsid w:val="003D4732"/>
    <w:rsid w:val="003D512F"/>
    <w:rsid w:val="003E75CC"/>
    <w:rsid w:val="003F12D9"/>
    <w:rsid w:val="003F5BFA"/>
    <w:rsid w:val="003F6A6B"/>
    <w:rsid w:val="0040139C"/>
    <w:rsid w:val="004045B4"/>
    <w:rsid w:val="0040715D"/>
    <w:rsid w:val="00410407"/>
    <w:rsid w:val="004128EA"/>
    <w:rsid w:val="00414329"/>
    <w:rsid w:val="00415482"/>
    <w:rsid w:val="00415C14"/>
    <w:rsid w:val="0041667A"/>
    <w:rsid w:val="0042043F"/>
    <w:rsid w:val="00421708"/>
    <w:rsid w:val="004221B0"/>
    <w:rsid w:val="00423E56"/>
    <w:rsid w:val="004252AE"/>
    <w:rsid w:val="00425BF0"/>
    <w:rsid w:val="0043240F"/>
    <w:rsid w:val="0043343B"/>
    <w:rsid w:val="00434DD0"/>
    <w:rsid w:val="00435A25"/>
    <w:rsid w:val="0043717D"/>
    <w:rsid w:val="00440722"/>
    <w:rsid w:val="00443CC2"/>
    <w:rsid w:val="004460C6"/>
    <w:rsid w:val="00452A50"/>
    <w:rsid w:val="004536FD"/>
    <w:rsid w:val="00457036"/>
    <w:rsid w:val="00460ADC"/>
    <w:rsid w:val="00465A21"/>
    <w:rsid w:val="00465DC6"/>
    <w:rsid w:val="00470FBC"/>
    <w:rsid w:val="0047303B"/>
    <w:rsid w:val="0047544F"/>
    <w:rsid w:val="00480C06"/>
    <w:rsid w:val="004823F4"/>
    <w:rsid w:val="00482D0E"/>
    <w:rsid w:val="00483E37"/>
    <w:rsid w:val="00485CF0"/>
    <w:rsid w:val="004910D4"/>
    <w:rsid w:val="004951FB"/>
    <w:rsid w:val="00496B7C"/>
    <w:rsid w:val="00497381"/>
    <w:rsid w:val="004A2CA1"/>
    <w:rsid w:val="004A3E23"/>
    <w:rsid w:val="004B2B44"/>
    <w:rsid w:val="004B34E1"/>
    <w:rsid w:val="004B4F3F"/>
    <w:rsid w:val="004B5986"/>
    <w:rsid w:val="004C1AC0"/>
    <w:rsid w:val="004C1C47"/>
    <w:rsid w:val="004C23F9"/>
    <w:rsid w:val="004C64CE"/>
    <w:rsid w:val="004D3E2F"/>
    <w:rsid w:val="004D4A87"/>
    <w:rsid w:val="004D7499"/>
    <w:rsid w:val="004D76E3"/>
    <w:rsid w:val="004E598B"/>
    <w:rsid w:val="004E5D52"/>
    <w:rsid w:val="004F1258"/>
    <w:rsid w:val="004F15C9"/>
    <w:rsid w:val="004F28FE"/>
    <w:rsid w:val="004F2F27"/>
    <w:rsid w:val="004F4078"/>
    <w:rsid w:val="00501BA0"/>
    <w:rsid w:val="00502482"/>
    <w:rsid w:val="00502BF1"/>
    <w:rsid w:val="00504327"/>
    <w:rsid w:val="00511120"/>
    <w:rsid w:val="00525360"/>
    <w:rsid w:val="00527E87"/>
    <w:rsid w:val="005345D5"/>
    <w:rsid w:val="00543B88"/>
    <w:rsid w:val="00543F66"/>
    <w:rsid w:val="00547EC6"/>
    <w:rsid w:val="00552EE7"/>
    <w:rsid w:val="00554136"/>
    <w:rsid w:val="00554A7A"/>
    <w:rsid w:val="0055582F"/>
    <w:rsid w:val="00555E75"/>
    <w:rsid w:val="00556532"/>
    <w:rsid w:val="00560F05"/>
    <w:rsid w:val="00564E3F"/>
    <w:rsid w:val="0056613C"/>
    <w:rsid w:val="00566672"/>
    <w:rsid w:val="005719F7"/>
    <w:rsid w:val="00580DD4"/>
    <w:rsid w:val="005814A1"/>
    <w:rsid w:val="00583FE4"/>
    <w:rsid w:val="005863D3"/>
    <w:rsid w:val="0058649A"/>
    <w:rsid w:val="005A0139"/>
    <w:rsid w:val="005A309A"/>
    <w:rsid w:val="005B00BB"/>
    <w:rsid w:val="005B16CE"/>
    <w:rsid w:val="005B26DE"/>
    <w:rsid w:val="005B3063"/>
    <w:rsid w:val="005B3A3F"/>
    <w:rsid w:val="005B47D8"/>
    <w:rsid w:val="005B575C"/>
    <w:rsid w:val="005B5D06"/>
    <w:rsid w:val="005B6C91"/>
    <w:rsid w:val="005C1765"/>
    <w:rsid w:val="005C36C8"/>
    <w:rsid w:val="005C597E"/>
    <w:rsid w:val="005D3A33"/>
    <w:rsid w:val="005D7EB5"/>
    <w:rsid w:val="005E23FE"/>
    <w:rsid w:val="005E2BC1"/>
    <w:rsid w:val="005E390A"/>
    <w:rsid w:val="005E63E8"/>
    <w:rsid w:val="005F163B"/>
    <w:rsid w:val="005F72E2"/>
    <w:rsid w:val="0060063B"/>
    <w:rsid w:val="00601F27"/>
    <w:rsid w:val="00604D70"/>
    <w:rsid w:val="00604FEA"/>
    <w:rsid w:val="00605D56"/>
    <w:rsid w:val="00612F48"/>
    <w:rsid w:val="00613331"/>
    <w:rsid w:val="00620595"/>
    <w:rsid w:val="00625570"/>
    <w:rsid w:val="00625C5C"/>
    <w:rsid w:val="00627C21"/>
    <w:rsid w:val="00631822"/>
    <w:rsid w:val="00633200"/>
    <w:rsid w:val="00633597"/>
    <w:rsid w:val="00633BBD"/>
    <w:rsid w:val="00634FEB"/>
    <w:rsid w:val="006360A3"/>
    <w:rsid w:val="00637AF3"/>
    <w:rsid w:val="0064460B"/>
    <w:rsid w:val="0064589F"/>
    <w:rsid w:val="00655C4C"/>
    <w:rsid w:val="00662B56"/>
    <w:rsid w:val="006644F6"/>
    <w:rsid w:val="00665547"/>
    <w:rsid w:val="00666FD6"/>
    <w:rsid w:val="00670190"/>
    <w:rsid w:val="00671041"/>
    <w:rsid w:val="006712C4"/>
    <w:rsid w:val="0068179D"/>
    <w:rsid w:val="00681B11"/>
    <w:rsid w:val="00683D22"/>
    <w:rsid w:val="00686CF3"/>
    <w:rsid w:val="00690600"/>
    <w:rsid w:val="0069181E"/>
    <w:rsid w:val="00691DD0"/>
    <w:rsid w:val="00692084"/>
    <w:rsid w:val="006957D1"/>
    <w:rsid w:val="00695BE5"/>
    <w:rsid w:val="006A2F5D"/>
    <w:rsid w:val="006A4F5F"/>
    <w:rsid w:val="006B1508"/>
    <w:rsid w:val="006B1909"/>
    <w:rsid w:val="006B3E85"/>
    <w:rsid w:val="006B4192"/>
    <w:rsid w:val="006B4626"/>
    <w:rsid w:val="006B4810"/>
    <w:rsid w:val="006B6516"/>
    <w:rsid w:val="006B7B5C"/>
    <w:rsid w:val="006C6CA3"/>
    <w:rsid w:val="006C7A99"/>
    <w:rsid w:val="006D3068"/>
    <w:rsid w:val="006E7D0B"/>
    <w:rsid w:val="006F0B7C"/>
    <w:rsid w:val="006F1F82"/>
    <w:rsid w:val="006F5C52"/>
    <w:rsid w:val="0070377D"/>
    <w:rsid w:val="00711F43"/>
    <w:rsid w:val="007168DA"/>
    <w:rsid w:val="007212A4"/>
    <w:rsid w:val="00723843"/>
    <w:rsid w:val="00726F33"/>
    <w:rsid w:val="00727258"/>
    <w:rsid w:val="0073068A"/>
    <w:rsid w:val="007336BA"/>
    <w:rsid w:val="0074104A"/>
    <w:rsid w:val="0074158A"/>
    <w:rsid w:val="007429A9"/>
    <w:rsid w:val="00745028"/>
    <w:rsid w:val="00745C93"/>
    <w:rsid w:val="0074748A"/>
    <w:rsid w:val="00751EBB"/>
    <w:rsid w:val="00771BA9"/>
    <w:rsid w:val="00772240"/>
    <w:rsid w:val="00777EA3"/>
    <w:rsid w:val="00783574"/>
    <w:rsid w:val="00784746"/>
    <w:rsid w:val="00785D58"/>
    <w:rsid w:val="00790AA3"/>
    <w:rsid w:val="007A48CF"/>
    <w:rsid w:val="007B2D20"/>
    <w:rsid w:val="007B3612"/>
    <w:rsid w:val="007C057B"/>
    <w:rsid w:val="007C1151"/>
    <w:rsid w:val="007C25EB"/>
    <w:rsid w:val="007C493B"/>
    <w:rsid w:val="007C4B6F"/>
    <w:rsid w:val="007C5BB2"/>
    <w:rsid w:val="007E0069"/>
    <w:rsid w:val="007E2885"/>
    <w:rsid w:val="007E4CBD"/>
    <w:rsid w:val="007E6ACB"/>
    <w:rsid w:val="007F5536"/>
    <w:rsid w:val="00800AA9"/>
    <w:rsid w:val="008020E6"/>
    <w:rsid w:val="00803B42"/>
    <w:rsid w:val="008040AD"/>
    <w:rsid w:val="008056B5"/>
    <w:rsid w:val="00806DC9"/>
    <w:rsid w:val="00810134"/>
    <w:rsid w:val="00812AF8"/>
    <w:rsid w:val="00813741"/>
    <w:rsid w:val="00813CD8"/>
    <w:rsid w:val="008167F3"/>
    <w:rsid w:val="00817C3D"/>
    <w:rsid w:val="00820250"/>
    <w:rsid w:val="00822922"/>
    <w:rsid w:val="008350F0"/>
    <w:rsid w:val="00835734"/>
    <w:rsid w:val="0084029C"/>
    <w:rsid w:val="008443A0"/>
    <w:rsid w:val="008455C0"/>
    <w:rsid w:val="00845940"/>
    <w:rsid w:val="008571C0"/>
    <w:rsid w:val="00860C12"/>
    <w:rsid w:val="00864EFA"/>
    <w:rsid w:val="008660EB"/>
    <w:rsid w:val="00870EA0"/>
    <w:rsid w:val="0087371C"/>
    <w:rsid w:val="00873A37"/>
    <w:rsid w:val="008755BF"/>
    <w:rsid w:val="00881B22"/>
    <w:rsid w:val="00887023"/>
    <w:rsid w:val="00894C55"/>
    <w:rsid w:val="0089643F"/>
    <w:rsid w:val="008B2637"/>
    <w:rsid w:val="008B44DF"/>
    <w:rsid w:val="008B4C53"/>
    <w:rsid w:val="008B67EF"/>
    <w:rsid w:val="008C3171"/>
    <w:rsid w:val="008C3FF0"/>
    <w:rsid w:val="008C6A0E"/>
    <w:rsid w:val="008E0129"/>
    <w:rsid w:val="008E1575"/>
    <w:rsid w:val="008F20FD"/>
    <w:rsid w:val="008F2AAB"/>
    <w:rsid w:val="008F3103"/>
    <w:rsid w:val="00904690"/>
    <w:rsid w:val="0090479F"/>
    <w:rsid w:val="00904F4F"/>
    <w:rsid w:val="00911DB9"/>
    <w:rsid w:val="0091549B"/>
    <w:rsid w:val="0091606D"/>
    <w:rsid w:val="009170B9"/>
    <w:rsid w:val="00921538"/>
    <w:rsid w:val="009230EE"/>
    <w:rsid w:val="0092412E"/>
    <w:rsid w:val="00927DBC"/>
    <w:rsid w:val="009306E1"/>
    <w:rsid w:val="009366B6"/>
    <w:rsid w:val="00940A1F"/>
    <w:rsid w:val="00941FAB"/>
    <w:rsid w:val="00952982"/>
    <w:rsid w:val="0095545B"/>
    <w:rsid w:val="009566A8"/>
    <w:rsid w:val="009573BE"/>
    <w:rsid w:val="00966541"/>
    <w:rsid w:val="00972206"/>
    <w:rsid w:val="00977C5E"/>
    <w:rsid w:val="00980BAF"/>
    <w:rsid w:val="00980F1C"/>
    <w:rsid w:val="00981808"/>
    <w:rsid w:val="009855BD"/>
    <w:rsid w:val="00985D89"/>
    <w:rsid w:val="009878FF"/>
    <w:rsid w:val="009B58E3"/>
    <w:rsid w:val="009B606B"/>
    <w:rsid w:val="009C2571"/>
    <w:rsid w:val="009C25FA"/>
    <w:rsid w:val="009C305F"/>
    <w:rsid w:val="009C59BA"/>
    <w:rsid w:val="009D26CC"/>
    <w:rsid w:val="009D44A2"/>
    <w:rsid w:val="009D6F69"/>
    <w:rsid w:val="009E0F44"/>
    <w:rsid w:val="009E3B08"/>
    <w:rsid w:val="009E3C92"/>
    <w:rsid w:val="009E4C92"/>
    <w:rsid w:val="009E6FD0"/>
    <w:rsid w:val="009F2E7F"/>
    <w:rsid w:val="00A0026D"/>
    <w:rsid w:val="00A04FF1"/>
    <w:rsid w:val="00A05864"/>
    <w:rsid w:val="00A058E4"/>
    <w:rsid w:val="00A05A3C"/>
    <w:rsid w:val="00A05D81"/>
    <w:rsid w:val="00A30EA0"/>
    <w:rsid w:val="00A34AC4"/>
    <w:rsid w:val="00A35BCB"/>
    <w:rsid w:val="00A40C20"/>
    <w:rsid w:val="00A522BB"/>
    <w:rsid w:val="00A53006"/>
    <w:rsid w:val="00A61A15"/>
    <w:rsid w:val="00A6466D"/>
    <w:rsid w:val="00A66FE3"/>
    <w:rsid w:val="00A676D2"/>
    <w:rsid w:val="00A70BFF"/>
    <w:rsid w:val="00A74713"/>
    <w:rsid w:val="00A7678F"/>
    <w:rsid w:val="00A76A3B"/>
    <w:rsid w:val="00A8295C"/>
    <w:rsid w:val="00A83051"/>
    <w:rsid w:val="00A83516"/>
    <w:rsid w:val="00A83708"/>
    <w:rsid w:val="00A900EA"/>
    <w:rsid w:val="00A93B2D"/>
    <w:rsid w:val="00A95D8B"/>
    <w:rsid w:val="00AA0BCE"/>
    <w:rsid w:val="00AC4FDE"/>
    <w:rsid w:val="00AC5E4B"/>
    <w:rsid w:val="00AD68AC"/>
    <w:rsid w:val="00AE08A1"/>
    <w:rsid w:val="00AE1B7B"/>
    <w:rsid w:val="00AE21E8"/>
    <w:rsid w:val="00AE54AA"/>
    <w:rsid w:val="00AE7C7B"/>
    <w:rsid w:val="00AF03BC"/>
    <w:rsid w:val="00AF306C"/>
    <w:rsid w:val="00B0234C"/>
    <w:rsid w:val="00B027FA"/>
    <w:rsid w:val="00B0395D"/>
    <w:rsid w:val="00B07C42"/>
    <w:rsid w:val="00B112B8"/>
    <w:rsid w:val="00B12437"/>
    <w:rsid w:val="00B23410"/>
    <w:rsid w:val="00B33381"/>
    <w:rsid w:val="00B34255"/>
    <w:rsid w:val="00B37882"/>
    <w:rsid w:val="00B44B78"/>
    <w:rsid w:val="00B50441"/>
    <w:rsid w:val="00B52014"/>
    <w:rsid w:val="00B529CE"/>
    <w:rsid w:val="00B52A4D"/>
    <w:rsid w:val="00B52DD7"/>
    <w:rsid w:val="00B5559E"/>
    <w:rsid w:val="00B62AB8"/>
    <w:rsid w:val="00B65278"/>
    <w:rsid w:val="00B65DBE"/>
    <w:rsid w:val="00B676F4"/>
    <w:rsid w:val="00B70293"/>
    <w:rsid w:val="00B7136C"/>
    <w:rsid w:val="00B71E6B"/>
    <w:rsid w:val="00B7440B"/>
    <w:rsid w:val="00B85233"/>
    <w:rsid w:val="00B87BB2"/>
    <w:rsid w:val="00B90514"/>
    <w:rsid w:val="00B96A72"/>
    <w:rsid w:val="00BA2164"/>
    <w:rsid w:val="00BB05F1"/>
    <w:rsid w:val="00BB0933"/>
    <w:rsid w:val="00BB0B29"/>
    <w:rsid w:val="00BB1E8B"/>
    <w:rsid w:val="00BB785D"/>
    <w:rsid w:val="00BB7F45"/>
    <w:rsid w:val="00BC1CB7"/>
    <w:rsid w:val="00BC367A"/>
    <w:rsid w:val="00BD1077"/>
    <w:rsid w:val="00BD4711"/>
    <w:rsid w:val="00BD6A15"/>
    <w:rsid w:val="00BE0837"/>
    <w:rsid w:val="00BE2758"/>
    <w:rsid w:val="00BE2BE4"/>
    <w:rsid w:val="00BE3254"/>
    <w:rsid w:val="00BE608B"/>
    <w:rsid w:val="00BE7E5C"/>
    <w:rsid w:val="00BF1D2A"/>
    <w:rsid w:val="00BF232B"/>
    <w:rsid w:val="00BF744C"/>
    <w:rsid w:val="00C00802"/>
    <w:rsid w:val="00C05420"/>
    <w:rsid w:val="00C0635A"/>
    <w:rsid w:val="00C06A16"/>
    <w:rsid w:val="00C06FCB"/>
    <w:rsid w:val="00C1035E"/>
    <w:rsid w:val="00C112FB"/>
    <w:rsid w:val="00C1302F"/>
    <w:rsid w:val="00C16602"/>
    <w:rsid w:val="00C2344A"/>
    <w:rsid w:val="00C25F4A"/>
    <w:rsid w:val="00C312C8"/>
    <w:rsid w:val="00C348A3"/>
    <w:rsid w:val="00C37AEA"/>
    <w:rsid w:val="00C4036C"/>
    <w:rsid w:val="00C40C80"/>
    <w:rsid w:val="00C425D4"/>
    <w:rsid w:val="00C52871"/>
    <w:rsid w:val="00C60D47"/>
    <w:rsid w:val="00C63773"/>
    <w:rsid w:val="00C64C39"/>
    <w:rsid w:val="00C65F61"/>
    <w:rsid w:val="00C73996"/>
    <w:rsid w:val="00C747DB"/>
    <w:rsid w:val="00C75195"/>
    <w:rsid w:val="00C867AF"/>
    <w:rsid w:val="00C90D86"/>
    <w:rsid w:val="00C91358"/>
    <w:rsid w:val="00C9225C"/>
    <w:rsid w:val="00C94FC7"/>
    <w:rsid w:val="00C95A8B"/>
    <w:rsid w:val="00CC25B9"/>
    <w:rsid w:val="00CC3CAE"/>
    <w:rsid w:val="00CD5D5D"/>
    <w:rsid w:val="00CD778F"/>
    <w:rsid w:val="00CE0672"/>
    <w:rsid w:val="00CE26C7"/>
    <w:rsid w:val="00CE42DB"/>
    <w:rsid w:val="00CE62D7"/>
    <w:rsid w:val="00CF1D0E"/>
    <w:rsid w:val="00CF3765"/>
    <w:rsid w:val="00CF481C"/>
    <w:rsid w:val="00CF712C"/>
    <w:rsid w:val="00D04892"/>
    <w:rsid w:val="00D130E2"/>
    <w:rsid w:val="00D152E0"/>
    <w:rsid w:val="00D158DD"/>
    <w:rsid w:val="00D171E5"/>
    <w:rsid w:val="00D205C8"/>
    <w:rsid w:val="00D2093B"/>
    <w:rsid w:val="00D20BA3"/>
    <w:rsid w:val="00D24D52"/>
    <w:rsid w:val="00D27382"/>
    <w:rsid w:val="00D35FF4"/>
    <w:rsid w:val="00D3617A"/>
    <w:rsid w:val="00D37291"/>
    <w:rsid w:val="00D43F93"/>
    <w:rsid w:val="00D453C7"/>
    <w:rsid w:val="00D47232"/>
    <w:rsid w:val="00D516F2"/>
    <w:rsid w:val="00D6150B"/>
    <w:rsid w:val="00D61A05"/>
    <w:rsid w:val="00D6472E"/>
    <w:rsid w:val="00D724F3"/>
    <w:rsid w:val="00D80CF9"/>
    <w:rsid w:val="00D81CCA"/>
    <w:rsid w:val="00D85581"/>
    <w:rsid w:val="00D858D8"/>
    <w:rsid w:val="00D85A53"/>
    <w:rsid w:val="00D9061B"/>
    <w:rsid w:val="00D92216"/>
    <w:rsid w:val="00D93433"/>
    <w:rsid w:val="00D961E2"/>
    <w:rsid w:val="00D9702B"/>
    <w:rsid w:val="00DA0CF7"/>
    <w:rsid w:val="00DA4BA3"/>
    <w:rsid w:val="00DA7932"/>
    <w:rsid w:val="00DB0369"/>
    <w:rsid w:val="00DB1E92"/>
    <w:rsid w:val="00DB256D"/>
    <w:rsid w:val="00DB6E90"/>
    <w:rsid w:val="00DC1073"/>
    <w:rsid w:val="00DC2274"/>
    <w:rsid w:val="00DC4729"/>
    <w:rsid w:val="00DC5480"/>
    <w:rsid w:val="00DC565C"/>
    <w:rsid w:val="00DC6CD6"/>
    <w:rsid w:val="00DC729C"/>
    <w:rsid w:val="00DD0451"/>
    <w:rsid w:val="00DD0F85"/>
    <w:rsid w:val="00DD2A80"/>
    <w:rsid w:val="00DD7FA9"/>
    <w:rsid w:val="00DE1C15"/>
    <w:rsid w:val="00DE366A"/>
    <w:rsid w:val="00DE3B87"/>
    <w:rsid w:val="00DE60AA"/>
    <w:rsid w:val="00DF4C39"/>
    <w:rsid w:val="00E002A5"/>
    <w:rsid w:val="00E0146F"/>
    <w:rsid w:val="00E01537"/>
    <w:rsid w:val="00E0209A"/>
    <w:rsid w:val="00E05BCC"/>
    <w:rsid w:val="00E100BE"/>
    <w:rsid w:val="00E10F4B"/>
    <w:rsid w:val="00E11E17"/>
    <w:rsid w:val="00E129E5"/>
    <w:rsid w:val="00E12A8C"/>
    <w:rsid w:val="00E15EE7"/>
    <w:rsid w:val="00E15F84"/>
    <w:rsid w:val="00E259A8"/>
    <w:rsid w:val="00E3304A"/>
    <w:rsid w:val="00E368DC"/>
    <w:rsid w:val="00E37B7C"/>
    <w:rsid w:val="00E411BE"/>
    <w:rsid w:val="00E424D1"/>
    <w:rsid w:val="00E44896"/>
    <w:rsid w:val="00E53DFC"/>
    <w:rsid w:val="00E5437B"/>
    <w:rsid w:val="00E56490"/>
    <w:rsid w:val="00E61ADE"/>
    <w:rsid w:val="00E61B04"/>
    <w:rsid w:val="00E63192"/>
    <w:rsid w:val="00E6371A"/>
    <w:rsid w:val="00E64CFC"/>
    <w:rsid w:val="00E66BD8"/>
    <w:rsid w:val="00E800EF"/>
    <w:rsid w:val="00E85D86"/>
    <w:rsid w:val="00E9185D"/>
    <w:rsid w:val="00EA1301"/>
    <w:rsid w:val="00EA211A"/>
    <w:rsid w:val="00EA4FE4"/>
    <w:rsid w:val="00EB02C8"/>
    <w:rsid w:val="00EB031A"/>
    <w:rsid w:val="00EB0BB5"/>
    <w:rsid w:val="00EB347C"/>
    <w:rsid w:val="00EB6C6D"/>
    <w:rsid w:val="00EC28FD"/>
    <w:rsid w:val="00EC45CF"/>
    <w:rsid w:val="00EC6ABC"/>
    <w:rsid w:val="00ED148F"/>
    <w:rsid w:val="00ED4233"/>
    <w:rsid w:val="00ED6678"/>
    <w:rsid w:val="00EE0D40"/>
    <w:rsid w:val="00EF1EA8"/>
    <w:rsid w:val="00EF6FCF"/>
    <w:rsid w:val="00EF7278"/>
    <w:rsid w:val="00F04424"/>
    <w:rsid w:val="00F04AE6"/>
    <w:rsid w:val="00F05787"/>
    <w:rsid w:val="00F2484B"/>
    <w:rsid w:val="00F24CAB"/>
    <w:rsid w:val="00F359B9"/>
    <w:rsid w:val="00F3609C"/>
    <w:rsid w:val="00F40646"/>
    <w:rsid w:val="00F42188"/>
    <w:rsid w:val="00F42D1B"/>
    <w:rsid w:val="00F43553"/>
    <w:rsid w:val="00F50B13"/>
    <w:rsid w:val="00F53792"/>
    <w:rsid w:val="00F61D61"/>
    <w:rsid w:val="00F67D66"/>
    <w:rsid w:val="00F70D33"/>
    <w:rsid w:val="00F71CF5"/>
    <w:rsid w:val="00F75550"/>
    <w:rsid w:val="00F77892"/>
    <w:rsid w:val="00F81E6B"/>
    <w:rsid w:val="00F82F9C"/>
    <w:rsid w:val="00F86776"/>
    <w:rsid w:val="00F937B6"/>
    <w:rsid w:val="00F9400E"/>
    <w:rsid w:val="00F969AE"/>
    <w:rsid w:val="00F97726"/>
    <w:rsid w:val="00FA2681"/>
    <w:rsid w:val="00FA3D45"/>
    <w:rsid w:val="00FB0239"/>
    <w:rsid w:val="00FB090D"/>
    <w:rsid w:val="00FB1AB6"/>
    <w:rsid w:val="00FB4752"/>
    <w:rsid w:val="00FB79DD"/>
    <w:rsid w:val="00FC0084"/>
    <w:rsid w:val="00FC216F"/>
    <w:rsid w:val="00FC340F"/>
    <w:rsid w:val="00FC6822"/>
    <w:rsid w:val="00FD190D"/>
    <w:rsid w:val="00FD5BA5"/>
    <w:rsid w:val="00FE27E7"/>
    <w:rsid w:val="00FF1D25"/>
    <w:rsid w:val="00FF6321"/>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9BF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B71E6B"/>
    <w:rPr>
      <w:color w:val="605E5C"/>
      <w:shd w:val="clear" w:color="auto" w:fill="E1DFDD"/>
    </w:rPr>
  </w:style>
  <w:style w:type="character" w:styleId="Kommentinviite">
    <w:name w:val="annotation reference"/>
    <w:basedOn w:val="Kappaleenoletusfontti"/>
    <w:uiPriority w:val="99"/>
    <w:semiHidden/>
    <w:unhideWhenUsed/>
    <w:rsid w:val="00263B20"/>
    <w:rPr>
      <w:sz w:val="16"/>
      <w:szCs w:val="16"/>
    </w:rPr>
  </w:style>
  <w:style w:type="paragraph" w:styleId="Kommentinteksti">
    <w:name w:val="annotation text"/>
    <w:basedOn w:val="Normaali"/>
    <w:link w:val="KommentintekstiChar"/>
    <w:uiPriority w:val="99"/>
    <w:unhideWhenUsed/>
    <w:rsid w:val="00263B20"/>
    <w:pPr>
      <w:spacing w:line="240" w:lineRule="auto"/>
    </w:pPr>
    <w:rPr>
      <w:szCs w:val="20"/>
    </w:rPr>
  </w:style>
  <w:style w:type="character" w:customStyle="1" w:styleId="KommentintekstiChar">
    <w:name w:val="Kommentin teksti Char"/>
    <w:basedOn w:val="Kappaleenoletusfontti"/>
    <w:link w:val="Kommentinteksti"/>
    <w:uiPriority w:val="99"/>
    <w:rsid w:val="00263B20"/>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63B20"/>
    <w:rPr>
      <w:b/>
      <w:bCs/>
    </w:rPr>
  </w:style>
  <w:style w:type="character" w:customStyle="1" w:styleId="KommentinotsikkoChar">
    <w:name w:val="Kommentin otsikko Char"/>
    <w:basedOn w:val="KommentintekstiChar"/>
    <w:link w:val="Kommentinotsikko"/>
    <w:uiPriority w:val="99"/>
    <w:semiHidden/>
    <w:rsid w:val="00263B20"/>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1399">
      <w:bodyDiv w:val="1"/>
      <w:marLeft w:val="0"/>
      <w:marRight w:val="0"/>
      <w:marTop w:val="0"/>
      <w:marBottom w:val="0"/>
      <w:divBdr>
        <w:top w:val="none" w:sz="0" w:space="0" w:color="auto"/>
        <w:left w:val="none" w:sz="0" w:space="0" w:color="auto"/>
        <w:bottom w:val="none" w:sz="0" w:space="0" w:color="auto"/>
        <w:right w:val="none" w:sz="0" w:space="0" w:color="auto"/>
      </w:divBdr>
    </w:div>
    <w:div w:id="112754211">
      <w:bodyDiv w:val="1"/>
      <w:marLeft w:val="0"/>
      <w:marRight w:val="0"/>
      <w:marTop w:val="0"/>
      <w:marBottom w:val="0"/>
      <w:divBdr>
        <w:top w:val="none" w:sz="0" w:space="0" w:color="auto"/>
        <w:left w:val="none" w:sz="0" w:space="0" w:color="auto"/>
        <w:bottom w:val="none" w:sz="0" w:space="0" w:color="auto"/>
        <w:right w:val="none" w:sz="0" w:space="0" w:color="auto"/>
      </w:divBdr>
    </w:div>
    <w:div w:id="20776173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6813231">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96586574">
      <w:bodyDiv w:val="1"/>
      <w:marLeft w:val="0"/>
      <w:marRight w:val="0"/>
      <w:marTop w:val="0"/>
      <w:marBottom w:val="0"/>
      <w:divBdr>
        <w:top w:val="none" w:sz="0" w:space="0" w:color="auto"/>
        <w:left w:val="none" w:sz="0" w:space="0" w:color="auto"/>
        <w:bottom w:val="none" w:sz="0" w:space="0" w:color="auto"/>
        <w:right w:val="none" w:sz="0" w:space="0" w:color="auto"/>
      </w:divBdr>
    </w:div>
    <w:div w:id="70976231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37524478">
      <w:bodyDiv w:val="1"/>
      <w:marLeft w:val="0"/>
      <w:marRight w:val="0"/>
      <w:marTop w:val="0"/>
      <w:marBottom w:val="0"/>
      <w:divBdr>
        <w:top w:val="none" w:sz="0" w:space="0" w:color="auto"/>
        <w:left w:val="none" w:sz="0" w:space="0" w:color="auto"/>
        <w:bottom w:val="none" w:sz="0" w:space="0" w:color="auto"/>
        <w:right w:val="none" w:sz="0" w:space="0" w:color="auto"/>
      </w:divBdr>
    </w:div>
    <w:div w:id="938218516">
      <w:bodyDiv w:val="1"/>
      <w:marLeft w:val="0"/>
      <w:marRight w:val="0"/>
      <w:marTop w:val="0"/>
      <w:marBottom w:val="0"/>
      <w:divBdr>
        <w:top w:val="none" w:sz="0" w:space="0" w:color="auto"/>
        <w:left w:val="none" w:sz="0" w:space="0" w:color="auto"/>
        <w:bottom w:val="none" w:sz="0" w:space="0" w:color="auto"/>
        <w:right w:val="none" w:sz="0" w:space="0" w:color="auto"/>
      </w:divBdr>
    </w:div>
    <w:div w:id="1055205144">
      <w:bodyDiv w:val="1"/>
      <w:marLeft w:val="0"/>
      <w:marRight w:val="0"/>
      <w:marTop w:val="0"/>
      <w:marBottom w:val="0"/>
      <w:divBdr>
        <w:top w:val="none" w:sz="0" w:space="0" w:color="auto"/>
        <w:left w:val="none" w:sz="0" w:space="0" w:color="auto"/>
        <w:bottom w:val="none" w:sz="0" w:space="0" w:color="auto"/>
        <w:right w:val="none" w:sz="0" w:space="0" w:color="auto"/>
      </w:divBdr>
      <w:divsChild>
        <w:div w:id="887183023">
          <w:marLeft w:val="0"/>
          <w:marRight w:val="0"/>
          <w:marTop w:val="0"/>
          <w:marBottom w:val="0"/>
          <w:divBdr>
            <w:top w:val="none" w:sz="0" w:space="0" w:color="auto"/>
            <w:left w:val="none" w:sz="0" w:space="0" w:color="auto"/>
            <w:bottom w:val="none" w:sz="0" w:space="0" w:color="auto"/>
            <w:right w:val="none" w:sz="0" w:space="0" w:color="auto"/>
          </w:divBdr>
        </w:div>
        <w:div w:id="665087581">
          <w:marLeft w:val="0"/>
          <w:marRight w:val="0"/>
          <w:marTop w:val="0"/>
          <w:marBottom w:val="0"/>
          <w:divBdr>
            <w:top w:val="none" w:sz="0" w:space="0" w:color="auto"/>
            <w:left w:val="none" w:sz="0" w:space="0" w:color="auto"/>
            <w:bottom w:val="none" w:sz="0" w:space="0" w:color="auto"/>
            <w:right w:val="none" w:sz="0" w:space="0" w:color="auto"/>
          </w:divBdr>
        </w:div>
        <w:div w:id="384180330">
          <w:marLeft w:val="0"/>
          <w:marRight w:val="0"/>
          <w:marTop w:val="0"/>
          <w:marBottom w:val="0"/>
          <w:divBdr>
            <w:top w:val="none" w:sz="0" w:space="0" w:color="auto"/>
            <w:left w:val="none" w:sz="0" w:space="0" w:color="auto"/>
            <w:bottom w:val="none" w:sz="0" w:space="0" w:color="auto"/>
            <w:right w:val="none" w:sz="0" w:space="0" w:color="auto"/>
          </w:divBdr>
        </w:div>
        <w:div w:id="483277502">
          <w:marLeft w:val="0"/>
          <w:marRight w:val="0"/>
          <w:marTop w:val="0"/>
          <w:marBottom w:val="0"/>
          <w:divBdr>
            <w:top w:val="none" w:sz="0" w:space="0" w:color="auto"/>
            <w:left w:val="none" w:sz="0" w:space="0" w:color="auto"/>
            <w:bottom w:val="none" w:sz="0" w:space="0" w:color="auto"/>
            <w:right w:val="none" w:sz="0" w:space="0" w:color="auto"/>
          </w:divBdr>
        </w:div>
        <w:div w:id="906913644">
          <w:marLeft w:val="0"/>
          <w:marRight w:val="0"/>
          <w:marTop w:val="0"/>
          <w:marBottom w:val="0"/>
          <w:divBdr>
            <w:top w:val="none" w:sz="0" w:space="0" w:color="auto"/>
            <w:left w:val="none" w:sz="0" w:space="0" w:color="auto"/>
            <w:bottom w:val="none" w:sz="0" w:space="0" w:color="auto"/>
            <w:right w:val="none" w:sz="0" w:space="0" w:color="auto"/>
          </w:divBdr>
        </w:div>
        <w:div w:id="883254978">
          <w:marLeft w:val="0"/>
          <w:marRight w:val="0"/>
          <w:marTop w:val="0"/>
          <w:marBottom w:val="0"/>
          <w:divBdr>
            <w:top w:val="none" w:sz="0" w:space="0" w:color="auto"/>
            <w:left w:val="none" w:sz="0" w:space="0" w:color="auto"/>
            <w:bottom w:val="none" w:sz="0" w:space="0" w:color="auto"/>
            <w:right w:val="none" w:sz="0" w:space="0" w:color="auto"/>
          </w:divBdr>
        </w:div>
        <w:div w:id="1476214646">
          <w:marLeft w:val="0"/>
          <w:marRight w:val="0"/>
          <w:marTop w:val="0"/>
          <w:marBottom w:val="0"/>
          <w:divBdr>
            <w:top w:val="none" w:sz="0" w:space="0" w:color="auto"/>
            <w:left w:val="none" w:sz="0" w:space="0" w:color="auto"/>
            <w:bottom w:val="none" w:sz="0" w:space="0" w:color="auto"/>
            <w:right w:val="none" w:sz="0" w:space="0" w:color="auto"/>
          </w:divBdr>
        </w:div>
      </w:divsChild>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78302999">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195655256">
      <w:bodyDiv w:val="1"/>
      <w:marLeft w:val="0"/>
      <w:marRight w:val="0"/>
      <w:marTop w:val="0"/>
      <w:marBottom w:val="0"/>
      <w:divBdr>
        <w:top w:val="none" w:sz="0" w:space="0" w:color="auto"/>
        <w:left w:val="none" w:sz="0" w:space="0" w:color="auto"/>
        <w:bottom w:val="none" w:sz="0" w:space="0" w:color="auto"/>
        <w:right w:val="none" w:sz="0" w:space="0" w:color="auto"/>
      </w:divBdr>
    </w:div>
    <w:div w:id="1321037021">
      <w:bodyDiv w:val="1"/>
      <w:marLeft w:val="0"/>
      <w:marRight w:val="0"/>
      <w:marTop w:val="0"/>
      <w:marBottom w:val="0"/>
      <w:divBdr>
        <w:top w:val="none" w:sz="0" w:space="0" w:color="auto"/>
        <w:left w:val="none" w:sz="0" w:space="0" w:color="auto"/>
        <w:bottom w:val="none" w:sz="0" w:space="0" w:color="auto"/>
        <w:right w:val="none" w:sz="0" w:space="0" w:color="auto"/>
      </w:divBdr>
    </w:div>
    <w:div w:id="1466503477">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0716386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09530659">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45533215">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world-latin-america-42695537" TargetMode="External"/><Relationship Id="rId18" Type="http://schemas.openxmlformats.org/officeDocument/2006/relationships/hyperlink" Target="https://www.hrw.org/news/2024/09/04/venezuela-brutal-crackdown-protesters-voters" TargetMode="External"/><Relationship Id="rId26" Type="http://schemas.openxmlformats.org/officeDocument/2006/relationships/hyperlink" Target="https://www.asambleanacional.gob.ve/storage/documentos/botones/constitucion-nacional-20191205135853.PDF" TargetMode="External"/><Relationship Id="rId39" Type="http://schemas.openxmlformats.org/officeDocument/2006/relationships/theme" Target="theme/theme1.xml"/><Relationship Id="rId21" Type="http://schemas.openxmlformats.org/officeDocument/2006/relationships/hyperlink" Target="https://x.com/MundarayZair/status/1320957652055240704?lang=fi"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fr.org/timeline/venezuelas-chavez-era" TargetMode="External"/><Relationship Id="rId20" Type="http://schemas.openxmlformats.org/officeDocument/2006/relationships/hyperlink" Target="https://www.icj.org/venezuela-systematic-failure-by-the-prosecution-office-to-tackle-gross-human-rights-violations-brings-about-near-total-impunity/" TargetMode="External"/><Relationship Id="rId29" Type="http://schemas.openxmlformats.org/officeDocument/2006/relationships/hyperlink" Target="https://www.ohchr.org/sites/default/files/documents/hrbodies/hrcouncil/sessions-regular/session57/advance-versions/a-hrc-57-crp-5-en.pdf"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oalajusticia.org/wp-content/uploads/2020/07/CICPC.-THE-NATIONAL-EXECUTIVE-BRANCH%E2%80%99S-TROJAN-HORSE-TO-INTERFERE-WITH-JUSTICE.pdf" TargetMode="External"/><Relationship Id="rId24" Type="http://schemas.openxmlformats.org/officeDocument/2006/relationships/hyperlink" Target="https://www.alc.com.ve/wp-content/uploads/2024/09/Ley-del-Estatuto-de-la-Funcion-de-la-Policia-de-Investigacion-.pdf" TargetMode="External"/><Relationship Id="rId32" Type="http://schemas.openxmlformats.org/officeDocument/2006/relationships/hyperlink" Target="https://www.state.gov/wp-content/uploads/2024/02/528267_VENEZUELA-2023-HUMAN-RIGHTS-REPORT.pdf"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onstituteproject.org/constitution/Venezuela_2009" TargetMode="External"/><Relationship Id="rId23" Type="http://schemas.openxmlformats.org/officeDocument/2006/relationships/hyperlink" Target="https://provea.org/publicaciones/investigaciones/investigacion-especial-uso-de-la-fuerza-publica-y-derecho-a-la-vida-en-venezuela/" TargetMode="External"/><Relationship Id="rId28" Type="http://schemas.openxmlformats.org/officeDocument/2006/relationships/hyperlink" Target="https://www.reuters.com/investigates/special-report/venezuela-violence-police/" TargetMode="External"/><Relationship Id="rId36" Type="http://schemas.openxmlformats.org/officeDocument/2006/relationships/footer" Target="footer1.xml"/><Relationship Id="rId10" Type="http://schemas.openxmlformats.org/officeDocument/2006/relationships/hyperlink" Target="https://accesoalajusticia.org/wp-content/uploads/2021/10/Functions-of-the-Police-service-in-Venezuela.pdf" TargetMode="External"/><Relationship Id="rId19" Type="http://schemas.openxmlformats.org/officeDocument/2006/relationships/hyperlink" Target="https://www.hrw.org/world-report/2024/country-chapters/venezuela" TargetMode="External"/><Relationship Id="rId31" Type="http://schemas.openxmlformats.org/officeDocument/2006/relationships/hyperlink" Target="https://www.ohchr.org/sites/default/files/Documents/HRBodies/HRCouncil/FFMV/A_HRC_45_CRP.11.pdf" TargetMode="External"/><Relationship Id="rId44"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accesoalajusticia.org/wp-content/uploads/2020/05/Informe-sobre-desempe%C3%B1o-sistema-policial-venezolano-2000-2018-1.pdf" TargetMode="External"/><Relationship Id="rId14" Type="http://schemas.openxmlformats.org/officeDocument/2006/relationships/hyperlink" Target="https://www.bbc.com/mundo/noticias-america-latina-40430359" TargetMode="External"/><Relationship Id="rId22" Type="http://schemas.openxmlformats.org/officeDocument/2006/relationships/hyperlink" Target="https://www.nytimes.com/card/2024/10/01/world/americas/venezuela-hugo-chavez-chavismo" TargetMode="External"/><Relationship Id="rId27" Type="http://schemas.openxmlformats.org/officeDocument/2006/relationships/hyperlink" Target="https://www.scribd.com/document/268651543/Analisis-de-La-Estructura-Organizacional-Del-Cicpc" TargetMode="External"/><Relationship Id="rId30" Type="http://schemas.openxmlformats.org/officeDocument/2006/relationships/hyperlink" Target="https://www.ohchr.org/sites/default/files/Documents/HRBodies/HRCouncil/FFMV/A-HRC-48-CRP.5_EN.pdf" TargetMode="External"/><Relationship Id="rId35" Type="http://schemas.openxmlformats.org/officeDocument/2006/relationships/header" Target="header2.xml"/><Relationship Id="rId43" Type="http://schemas.openxmlformats.org/officeDocument/2006/relationships/customXml" Target="../customXml/item5.xml"/><Relationship Id="rId8" Type="http://schemas.openxmlformats.org/officeDocument/2006/relationships/hyperlink" Target="https://accesoalajusticia.org/wp-content/uploads/securepdfs/2022/05/La-administracion-de-justicia-penal-en-Venezuela.pdf" TargetMode="External"/><Relationship Id="rId3" Type="http://schemas.openxmlformats.org/officeDocument/2006/relationships/styles" Target="styles.xml"/><Relationship Id="rId12" Type="http://schemas.openxmlformats.org/officeDocument/2006/relationships/hyperlink" Target="https://accesoalajusticia.org/wp-content/uploads/2020/04/Police-management-in-Venezuela.pdf" TargetMode="External"/><Relationship Id="rId17" Type="http://schemas.openxmlformats.org/officeDocument/2006/relationships/hyperlink" Target="https://euaa.europa.eu/sites/default/files/publications/2023-11/2023_11_COI_Report_Venezuela_Country_Focus_EN.pdf" TargetMode="External"/><Relationship Id="rId25" Type="http://schemas.openxmlformats.org/officeDocument/2006/relationships/hyperlink" Target="https://www.studocu.com/latam/document/universidad-nacional-experimental-de-los-llanos-centrales-romulo-gallegos/medicina-general/02-ley-organica-del-servicio-de-policia-de-investigacion-el-cicpc-y-el-senamecf/57621145" TargetMode="External"/><Relationship Id="rId33" Type="http://schemas.openxmlformats.org/officeDocument/2006/relationships/hyperlink" Target="https://venezuelablog.tumblr.com/post/103460615729/venezuelas-police-revolution-rolling-back-or" TargetMode="External"/><Relationship Id="rId38"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asambleanacional.gob.ve/storage/documentos/botones/constitucion-nacional-20191205135853.PDF" TargetMode="External"/><Relationship Id="rId2" Type="http://schemas.openxmlformats.org/officeDocument/2006/relationships/hyperlink" Target="https://www.constituteproject.org/constitution/Venezuela_2009" TargetMode="External"/><Relationship Id="rId1" Type="http://schemas.openxmlformats.org/officeDocument/2006/relationships/hyperlink" Target="https://www.scribd.com/document/268651543/Analisis-de-La-Estructura-Organizacional-Del-Cicpc" TargetMode="External"/><Relationship Id="rId5" Type="http://schemas.openxmlformats.org/officeDocument/2006/relationships/hyperlink" Target="https://www.alc.com.ve/wp-content/uploads/2024/09/Ley-del-Estatuto-de-la-Funcion-de-la-Policia-de-Investigacion-.pdf" TargetMode="External"/><Relationship Id="rId4" Type="http://schemas.openxmlformats.org/officeDocument/2006/relationships/hyperlink" Target="https://www.bbc.com/news/world-latin-america-426955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E562A"/>
    <w:rsid w:val="00DE08E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PUBLIC AUTHORITIES,STATE PROTECTION,SECURITY FORCES,CRIME,INVESTIGATION,POLICE,LAW ENFORCEMENT,PUBLIC SERVANTS,DICTATORSHIP,DEGREE OF INDISCRIMINATE VIOLENCE,VIOLENCE,POLICE BRUTALITY,ARBITRARY ARREST AND DETENTION,FREEDOM OF SPEECH,INTELLIGENCE SERVICES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Venezuela</TermName>
          <TermId xmlns="http://schemas.microsoft.com/office/infopath/2007/PartnerControls">8dcb2e29-4739-4075-8b4b-d74fa9126f78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2024-11-24T23:00:00+00:00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90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112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Asiakirjan tunnus: 
Julkisuus: Julkinen
Venezuela / CICPC-joukot
Venezuela / The CICPC forces
Kysymykset
Tiivis kuvaus CICPC (Cuerpo de Investigaciones Científicas, Penales y Criminalísticas) -joukoista
Questions
A brief description of the CICPC (Cuerpo de Investigaciones Científicas, Penales y Criminalísticas) forces
1. Tiivis kuvaus CICPC (Cuerpo de Investigaciones Científicas, Penales y Criminalísticas) -joukoista
Venezuelan turvallisuusviranomaisten toimintaa on käsitelty myös Maahanmuuttoviraston maatietopalvelun 21.3.2023 julkaisemassa kyselyvastauksessa ”Venezuela / FAES ja oikeudenloukkaukset, Acción Democrática -puolue, Voluntad Popular -puolue”.[footnoteRef:1] Lisäksi viranomaisten oikeudenloukkauksia ja viranomaissuojelun saatavuutta on käsitelty mm. maatietopalvelun 6.11.2019 ja 29.8.2019 julkaisemissa kyselyvastauksissa.[footnoteRef:2] Euroopan turvapaikkaviraston (EUAA) marraskuussa 2023 julkaisemassa raportissa käsitellään CICPC:tä ja sen joukkoihin yhdistettyjä</COIDocAbstract>
    <COIWSGroundsRejection xmlns="b5be3156-7e14-46bc-bfca-5c242eb3de3f" xsi:nil="true"/>
    <COIDocAuthors xmlns="e235e197-502c-49f1-8696-39d199cd5131">
      <Value>143</Value>
    </COIDocAuthors>
    <COIDocID xmlns="b5be3156-7e14-46bc-bfca-5c242eb3de3f">750</COIDocID>
    <_dlc_DocId xmlns="e235e197-502c-49f1-8696-39d199cd5131">FI011-215589946-12292</_dlc_DocId>
    <_dlc_DocIdUrl xmlns="e235e197-502c-49f1-8696-39d199cd5131">
      <Url>https://coiadmin.euaa.europa.eu/administration/finland/_layouts/15/DocIdRedir.aspx?ID=FI011-215589946-12292</Url>
      <Description>FI011-215589946-12292</Description>
    </_dlc_DocIdUrl>
  </documentManagement>
</p:properties>
</file>

<file path=customXml/itemProps1.xml><?xml version="1.0" encoding="utf-8"?>
<ds:datastoreItem xmlns:ds="http://schemas.openxmlformats.org/officeDocument/2006/customXml" ds:itemID="{336990DD-FFD4-4C83-B67E-0E279B85974C}">
  <ds:schemaRefs>
    <ds:schemaRef ds:uri="http://schemas.openxmlformats.org/officeDocument/2006/bibliography"/>
  </ds:schemaRefs>
</ds:datastoreItem>
</file>

<file path=customXml/itemProps2.xml><?xml version="1.0" encoding="utf-8"?>
<ds:datastoreItem xmlns:ds="http://schemas.openxmlformats.org/officeDocument/2006/customXml" ds:itemID="{D55ECB83-3865-4BDB-B182-0F6DFBE00A68}"/>
</file>

<file path=customXml/itemProps3.xml><?xml version="1.0" encoding="utf-8"?>
<ds:datastoreItem xmlns:ds="http://schemas.openxmlformats.org/officeDocument/2006/customXml" ds:itemID="{A9507036-A3BA-4043-A0E9-19B89C74E860}"/>
</file>

<file path=customXml/itemProps4.xml><?xml version="1.0" encoding="utf-8"?>
<ds:datastoreItem xmlns:ds="http://schemas.openxmlformats.org/officeDocument/2006/customXml" ds:itemID="{C57D0A52-4E5E-4249-AFCF-1B1C20908104}"/>
</file>

<file path=customXml/itemProps5.xml><?xml version="1.0" encoding="utf-8"?>
<ds:datastoreItem xmlns:ds="http://schemas.openxmlformats.org/officeDocument/2006/customXml" ds:itemID="{EE855139-3703-44D5-BE2F-AED7DFE4747D}"/>
</file>

<file path=customXml/itemProps6.xml><?xml version="1.0" encoding="utf-8"?>
<ds:datastoreItem xmlns:ds="http://schemas.openxmlformats.org/officeDocument/2006/customXml" ds:itemID="{138D3081-381D-46A6-B452-BD2438DE7CEA}"/>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20959</Characters>
  <Application>Microsoft Office Word</Application>
  <DocSecurity>0</DocSecurity>
  <Lines>174</Lines>
  <Paragraphs>46</Paragraphs>
  <ScaleCrop>false</ScaleCrop>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 CICPC -joukot // Venezuela / The CICPC forces</dc:title>
  <dc:creator/>
  <cp:lastModifiedBy/>
  <cp:revision>1</cp:revision>
  <dcterms:created xsi:type="dcterms:W3CDTF">2024-11-25T15:13:00Z</dcterms:created>
  <dcterms:modified xsi:type="dcterms:W3CDTF">2024-11-25T15:13:00Z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04a86c00-a390-48de-bf15-47feb918a339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90;#Venezuela|8dcb2e29-4739-4075-8b4b-d74fa9126f78</vt:lpwstr>
  </property>
  <property fmtid="{D5CDD505-2E9C-101B-9397-08002B2CF9AE}" pid="9" name="COIInformTypeMM">
    <vt:lpwstr>4;#Response to COI Query|74af11f0-82c2-4825-bd8f-d6b1cac3a3aa</vt:lpwstr>
  </property>
</Properties>
</file>