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DE9D" w14:textId="77777777" w:rsidR="00873A37" w:rsidRDefault="00873A37" w:rsidP="00873A37">
      <w:pPr>
        <w:spacing w:after="0"/>
        <w:rPr>
          <w:rStyle w:val="Heading1Char"/>
          <w:rFonts w:eastAsiaTheme="minorHAnsi" w:cstheme="minorHAnsi"/>
          <w:color w:val="auto"/>
          <w:sz w:val="20"/>
          <w:szCs w:val="22"/>
        </w:rPr>
      </w:pPr>
      <w:r>
        <w:rPr>
          <w:rStyle w:val="Heading1Char"/>
          <w:rFonts w:eastAsiaTheme="minorHAnsi" w:cstheme="minorHAnsi"/>
          <w:color w:val="auto"/>
          <w:sz w:val="20"/>
          <w:szCs w:val="22"/>
        </w:rPr>
        <w:t>Maatietopalvelu</w:t>
      </w:r>
    </w:p>
    <w:p w14:paraId="2BE00CB8" w14:textId="77777777" w:rsidR="00873A37" w:rsidRPr="00873A37" w:rsidRDefault="00873A37" w:rsidP="00873A37">
      <w:pPr>
        <w:spacing w:before="0"/>
        <w:rPr>
          <w:rStyle w:val="Heading1Char"/>
          <w:rFonts w:eastAsiaTheme="minorHAnsi" w:cstheme="minorHAnsi"/>
          <w:b w:val="0"/>
          <w:color w:val="auto"/>
          <w:sz w:val="20"/>
          <w:szCs w:val="22"/>
        </w:rPr>
      </w:pPr>
      <w:r>
        <w:rPr>
          <w:rStyle w:val="Heading1Char"/>
          <w:rFonts w:eastAsiaTheme="minorHAnsi" w:cstheme="minorHAnsi"/>
          <w:b w:val="0"/>
          <w:color w:val="auto"/>
          <w:sz w:val="20"/>
          <w:szCs w:val="22"/>
        </w:rPr>
        <w:t>Kyselyvastaus</w:t>
      </w:r>
    </w:p>
    <w:p w14:paraId="4D54C6F5" w14:textId="20DE7D31" w:rsidR="00800AA9" w:rsidRPr="00800AA9" w:rsidRDefault="00800AA9" w:rsidP="00C348A3">
      <w:pPr>
        <w:spacing w:before="0" w:after="0"/>
      </w:pPr>
      <w:r w:rsidRPr="00BB7F45">
        <w:rPr>
          <w:b/>
        </w:rPr>
        <w:t>Asiakirjan tunnus:</w:t>
      </w:r>
      <w:r>
        <w:t xml:space="preserve"> KT</w:t>
      </w:r>
      <w:r w:rsidR="00105370">
        <w:t>1017</w:t>
      </w:r>
    </w:p>
    <w:p w14:paraId="48619638" w14:textId="73EB9534" w:rsidR="00800AA9" w:rsidRDefault="00800AA9" w:rsidP="00C348A3">
      <w:pPr>
        <w:spacing w:before="0" w:after="0"/>
      </w:pPr>
      <w:r w:rsidRPr="00BB7F45">
        <w:rPr>
          <w:b/>
        </w:rPr>
        <w:t>Päivämäärä</w:t>
      </w:r>
      <w:r>
        <w:t xml:space="preserve">: </w:t>
      </w:r>
      <w:r w:rsidR="00CF57AD">
        <w:t>21</w:t>
      </w:r>
      <w:r w:rsidR="00810134">
        <w:t>.</w:t>
      </w:r>
      <w:r w:rsidR="00105370">
        <w:t>3</w:t>
      </w:r>
      <w:r w:rsidR="00810134">
        <w:t>.</w:t>
      </w:r>
      <w:r w:rsidR="00105370">
        <w:t>2025</w:t>
      </w:r>
    </w:p>
    <w:p w14:paraId="62CCCDCA" w14:textId="65D4E986" w:rsidR="00800AA9" w:rsidRPr="00800AA9" w:rsidRDefault="00800AA9" w:rsidP="00C348A3">
      <w:pPr>
        <w:spacing w:before="0"/>
        <w:rPr>
          <w:rStyle w:val="Heading1Char"/>
          <w:rFonts w:eastAsiaTheme="minorHAnsi" w:cstheme="minorHAnsi"/>
          <w:b w:val="0"/>
          <w:color w:val="auto"/>
          <w:sz w:val="20"/>
          <w:szCs w:val="22"/>
        </w:rPr>
      </w:pPr>
      <w:r w:rsidRPr="00BB7F45">
        <w:rPr>
          <w:b/>
        </w:rPr>
        <w:t>Julkisuus:</w:t>
      </w:r>
      <w:r>
        <w:t xml:space="preserve"> Julkinen </w:t>
      </w:r>
    </w:p>
    <w:p w14:paraId="65FFAA5A" w14:textId="77777777" w:rsidR="00800AA9" w:rsidRPr="00633BBD" w:rsidRDefault="000C2DF0" w:rsidP="00800AA9">
      <w:pPr>
        <w:rPr>
          <w:rStyle w:val="Heading1Char"/>
          <w:b w:val="0"/>
          <w:sz w:val="20"/>
          <w:szCs w:val="20"/>
        </w:rPr>
      </w:pPr>
      <w:r>
        <w:rPr>
          <w:b/>
        </w:rPr>
        <w:pict w14:anchorId="5581C5DA">
          <v:rect id="_x0000_i1025" style="width:0;height:1.5pt" o:hralign="center" o:hrstd="t" o:hr="t" fillcolor="#a0a0a0" stroked="f"/>
        </w:pict>
      </w:r>
    </w:p>
    <w:p w14:paraId="1C373516" w14:textId="7D6D1900" w:rsidR="008020E6" w:rsidRPr="00543F66" w:rsidRDefault="000C2DF0" w:rsidP="00105370">
      <w:pPr>
        <w:pStyle w:val="POTSIKKO"/>
        <w:rPr>
          <w:rStyle w:val="Heading1Char"/>
          <w:rFonts w:cs="Times New Roman"/>
          <w:b/>
          <w:szCs w:val="24"/>
        </w:rPr>
      </w:pPr>
      <w:sdt>
        <w:sdtPr>
          <w:rPr>
            <w:rStyle w:val="Heading1Char"/>
            <w:rFonts w:cs="Times New Roman"/>
            <w:b/>
            <w:szCs w:val="24"/>
          </w:rPr>
          <w:alias w:val="Maa / Otsikko"/>
          <w:tag w:val="Otsikko"/>
          <w:id w:val="597070427"/>
          <w:placeholder>
            <w:docPart w:val="ACCC0ECD386443739B4C4DED58AC8823"/>
          </w:placeholder>
          <w:text/>
        </w:sdtPr>
        <w:sdtEndPr>
          <w:rPr>
            <w:rStyle w:val="Heading1Char"/>
          </w:rPr>
        </w:sdtEndPr>
        <w:sdtContent>
          <w:r w:rsidR="00105370" w:rsidRPr="00105370">
            <w:rPr>
              <w:rStyle w:val="Heading1Char"/>
              <w:rFonts w:cs="Times New Roman"/>
              <w:b/>
              <w:szCs w:val="24"/>
            </w:rPr>
            <w:t>Ukraina / Sanan- ja ilmaisunvapauden tilanne</w:t>
          </w:r>
        </w:sdtContent>
      </w:sdt>
    </w:p>
    <w:sdt>
      <w:sdtPr>
        <w:rPr>
          <w:rStyle w:val="Heading1Char"/>
          <w:rFonts w:cs="Times New Roman"/>
          <w:b/>
          <w:szCs w:val="24"/>
          <w:lang w:val="en-US"/>
        </w:rPr>
        <w:alias w:val="Country / Title in English"/>
        <w:tag w:val="Country / Title in English"/>
        <w:id w:val="2146699517"/>
        <w:lock w:val="sdtLocked"/>
        <w:placeholder>
          <w:docPart w:val="687093FE079243E5A538391F9272F342"/>
        </w:placeholder>
        <w:text/>
      </w:sdtPr>
      <w:sdtEndPr>
        <w:rPr>
          <w:rStyle w:val="DefaultParagraphFont"/>
          <w:rFonts w:eastAsia="Times New Roman"/>
        </w:rPr>
      </w:sdtEndPr>
      <w:sdtContent>
        <w:p w14:paraId="0CFC402C" w14:textId="2D845EA8" w:rsidR="00082DFE" w:rsidRPr="00105370" w:rsidRDefault="00105370" w:rsidP="00543F66">
          <w:pPr>
            <w:pStyle w:val="POTSIKKO"/>
            <w:rPr>
              <w:lang w:val="en-US"/>
            </w:rPr>
          </w:pPr>
          <w:r w:rsidRPr="00105370">
            <w:rPr>
              <w:rStyle w:val="Heading1Char"/>
              <w:rFonts w:cs="Times New Roman"/>
              <w:b/>
              <w:szCs w:val="24"/>
              <w:lang w:val="en-US"/>
            </w:rPr>
            <w:t>Ukraine</w:t>
          </w:r>
          <w:r w:rsidR="00810134" w:rsidRPr="00105370">
            <w:rPr>
              <w:rStyle w:val="Heading1Char"/>
              <w:rFonts w:cs="Times New Roman"/>
              <w:b/>
              <w:szCs w:val="24"/>
              <w:lang w:val="en-US"/>
            </w:rPr>
            <w:t xml:space="preserve"> / </w:t>
          </w:r>
          <w:r w:rsidRPr="00105370">
            <w:rPr>
              <w:rStyle w:val="Heading1Char"/>
              <w:rFonts w:cs="Times New Roman"/>
              <w:b/>
              <w:szCs w:val="24"/>
              <w:lang w:val="en-US"/>
            </w:rPr>
            <w:t xml:space="preserve">The situation </w:t>
          </w:r>
          <w:r>
            <w:rPr>
              <w:rStyle w:val="Heading1Char"/>
              <w:rFonts w:cs="Times New Roman"/>
              <w:b/>
              <w:szCs w:val="24"/>
              <w:lang w:val="en-US"/>
            </w:rPr>
            <w:t>with</w:t>
          </w:r>
          <w:r w:rsidRPr="00105370">
            <w:rPr>
              <w:rStyle w:val="Heading1Char"/>
              <w:rFonts w:cs="Times New Roman"/>
              <w:b/>
              <w:szCs w:val="24"/>
              <w:lang w:val="en-US"/>
            </w:rPr>
            <w:t xml:space="preserve"> f</w:t>
          </w:r>
          <w:r>
            <w:rPr>
              <w:rStyle w:val="Heading1Char"/>
              <w:rFonts w:cs="Times New Roman"/>
              <w:b/>
              <w:szCs w:val="24"/>
              <w:lang w:val="en-US"/>
            </w:rPr>
            <w:t>reedom of speech and expression</w:t>
          </w:r>
        </w:p>
      </w:sdtContent>
    </w:sdt>
    <w:p w14:paraId="44368DC8" w14:textId="77777777" w:rsidR="00082DFE" w:rsidRDefault="000C2DF0" w:rsidP="00082DFE">
      <w:pPr>
        <w:rPr>
          <w:b/>
        </w:rPr>
      </w:pPr>
      <w:r>
        <w:rPr>
          <w:b/>
        </w:rPr>
        <w:pict w14:anchorId="6E901FFF">
          <v:rect id="_x0000_i1026" style="width:0;height:1.5pt" o:hralign="center" o:hrstd="t" o:hr="t" fillcolor="#a0a0a0" stroked="f"/>
        </w:pict>
      </w:r>
    </w:p>
    <w:p w14:paraId="7BEA1B87"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210FAB1CE4804756836A06073676F50E"/>
        </w:placeholder>
      </w:sdtPr>
      <w:sdtEndPr>
        <w:rPr>
          <w:rStyle w:val="DefaultParagraphFont"/>
          <w:color w:val="404040" w:themeColor="text1" w:themeTint="BF"/>
        </w:rPr>
      </w:sdtEndPr>
      <w:sdtContent>
        <w:sdt>
          <w:sdtPr>
            <w:rPr>
              <w:rStyle w:val="KysymyksetChar"/>
            </w:rPr>
            <w:alias w:val="Questions"/>
            <w:tag w:val="Fill in the questions here"/>
            <w:id w:val="353243802"/>
            <w:placeholder>
              <w:docPart w:val="C804E2016CEA42DD896EE883179C83F4"/>
            </w:placeholder>
            <w:text w:multiLine="1"/>
          </w:sdtPr>
          <w:sdtEndPr>
            <w:rPr>
              <w:rStyle w:val="KysymyksetChar"/>
            </w:rPr>
          </w:sdtEndPr>
          <w:sdtContent>
            <w:p w14:paraId="5F2EFD22" w14:textId="79738B93" w:rsidR="00810134" w:rsidRPr="001678AD" w:rsidRDefault="00105370" w:rsidP="00105370">
              <w:pPr>
                <w:pStyle w:val="Quote"/>
                <w:ind w:left="0"/>
                <w:jc w:val="left"/>
                <w:rPr>
                  <w:i w:val="0"/>
                  <w:iCs w:val="0"/>
                  <w:color w:val="000000" w:themeColor="text1"/>
                </w:rPr>
              </w:pPr>
              <w:r w:rsidRPr="00105370">
                <w:rPr>
                  <w:rStyle w:val="KysymyksetChar"/>
                </w:rPr>
                <w:t>1. Miten Ukrainan sanan- ja ilmaisunvapauden tilanne on kehittynyt Venäjän 2022 hyökkäyssodan alkamisen jälkeen?</w:t>
              </w:r>
              <w:r w:rsidRPr="00105370">
                <w:rPr>
                  <w:rStyle w:val="KysymyksetChar"/>
                </w:rPr>
                <w:br/>
                <w:t>2. Onko henkilöitä syytetty, tuomittu tai muuten rangaistu julkisuudessa esittämiensä Venäjä-mielisten tai Ukrainan hallintoa kritisoivien mielipiteiden johdosta?</w:t>
              </w:r>
            </w:p>
          </w:sdtContent>
        </w:sdt>
      </w:sdtContent>
    </w:sdt>
    <w:p w14:paraId="28B1DB31" w14:textId="77777777" w:rsidR="00082DFE" w:rsidRPr="00275F50" w:rsidRDefault="00082DFE" w:rsidP="00C348A3">
      <w:pPr>
        <w:pStyle w:val="Numeroimatonotsikko"/>
        <w:rPr>
          <w:lang w:val="en-US"/>
        </w:rPr>
      </w:pPr>
      <w:r w:rsidRPr="00275F50">
        <w:rPr>
          <w:lang w:val="en-US"/>
        </w:rPr>
        <w:t>Questions</w:t>
      </w:r>
    </w:p>
    <w:sdt>
      <w:sdtPr>
        <w:rPr>
          <w:rStyle w:val="KysymyksetChar"/>
          <w:lang w:val="en-GB"/>
        </w:rPr>
        <w:alias w:val="Questions"/>
        <w:tag w:val="Fill in the questions here"/>
        <w:id w:val="-849104524"/>
        <w:lock w:val="sdtLocked"/>
        <w:placeholder>
          <w:docPart w:val="10100472A0024FDCA63F97E38AE423E7"/>
        </w:placeholder>
        <w:text w:multiLine="1"/>
      </w:sdtPr>
      <w:sdtEndPr>
        <w:rPr>
          <w:rStyle w:val="KysymyksetChar"/>
        </w:rPr>
      </w:sdtEndPr>
      <w:sdtContent>
        <w:p w14:paraId="4A32B879" w14:textId="4EC614A9" w:rsidR="00082DFE" w:rsidRPr="00105370" w:rsidRDefault="00105370" w:rsidP="003C5382">
          <w:pPr>
            <w:pStyle w:val="Quote"/>
            <w:ind w:left="0"/>
            <w:jc w:val="left"/>
            <w:rPr>
              <w:rStyle w:val="KysymyksetChar"/>
              <w:lang w:val="en-US"/>
            </w:rPr>
          </w:pPr>
          <w:r w:rsidRPr="00105370">
            <w:rPr>
              <w:rStyle w:val="KysymyksetChar"/>
              <w:lang w:val="en-GB"/>
            </w:rPr>
            <w:t>1. How has the situation of freedom of speech and expression in Ukraine evolved since the beginning of Russia's war of aggression in 2022?</w:t>
          </w:r>
          <w:r w:rsidRPr="00105370">
            <w:rPr>
              <w:rStyle w:val="KysymyksetChar"/>
              <w:lang w:val="en-GB"/>
            </w:rPr>
            <w:br/>
            <w:t>2. Have any individuals been charged, convicted or otherwise punished for publicly expressing pro-Russian opinions or opinions critical of the Ukrainian regime?</w:t>
          </w:r>
        </w:p>
      </w:sdtContent>
    </w:sdt>
    <w:p w14:paraId="16DBD359" w14:textId="77777777" w:rsidR="00082DFE" w:rsidRPr="00082DFE" w:rsidRDefault="000C2DF0" w:rsidP="00082DFE">
      <w:pPr>
        <w:pStyle w:val="LeiptekstiMigri"/>
        <w:ind w:left="0"/>
        <w:rPr>
          <w:lang w:val="en-GB"/>
        </w:rPr>
      </w:pPr>
      <w:r>
        <w:rPr>
          <w:b/>
        </w:rPr>
        <w:pict w14:anchorId="2A2877BE">
          <v:rect id="_x0000_i1027" style="width:0;height:1.5pt" o:hralign="center" o:hrstd="t" o:hr="t" fillcolor="#a0a0a0" stroked="f"/>
        </w:pict>
      </w:r>
    </w:p>
    <w:p w14:paraId="0A47CB90" w14:textId="5FBA9835" w:rsidR="00543F66" w:rsidRDefault="00105370" w:rsidP="00543F66">
      <w:pPr>
        <w:pStyle w:val="Heading1"/>
      </w:pPr>
      <w:bookmarkStart w:id="0" w:name="_Hlk129259295"/>
      <w:r w:rsidRPr="00105370">
        <w:t>Miten Ukrainan sanan- ja ilmaisunvapauden tilanne on kehittynyt Venäjän 2022 hyökkäyssodan alkamisen jälkeen?</w:t>
      </w:r>
    </w:p>
    <w:p w14:paraId="7290FE4C" w14:textId="47D172A8" w:rsidR="00F6718F" w:rsidRDefault="009A3E10" w:rsidP="005A49CD">
      <w:r>
        <w:t>Ukrainan perustuslaki takaa sana</w:t>
      </w:r>
      <w:r w:rsidR="00F512DF">
        <w:t>n</w:t>
      </w:r>
      <w:r>
        <w:t>- ja ilmaisunvapa</w:t>
      </w:r>
      <w:r w:rsidR="0084508C">
        <w:t>u</w:t>
      </w:r>
      <w:r w:rsidR="00F512DF">
        <w:t>de</w:t>
      </w:r>
      <w:r w:rsidR="0027137C">
        <w:t>n</w:t>
      </w:r>
      <w:r>
        <w:t xml:space="preserve"> ja kieltää sensuurin</w:t>
      </w:r>
      <w:r w:rsidR="00F512DF">
        <w:t>.</w:t>
      </w:r>
      <w:r>
        <w:rPr>
          <w:rStyle w:val="FootnoteReference"/>
        </w:rPr>
        <w:footnoteReference w:id="1"/>
      </w:r>
      <w:r w:rsidR="002B0C43">
        <w:t xml:space="preserve"> </w:t>
      </w:r>
      <w:r w:rsidR="008750D7">
        <w:t>Sananvapautta voidaan</w:t>
      </w:r>
      <w:r w:rsidR="001E0C58">
        <w:t xml:space="preserve"> rajoittaa kansallisen turvallisuuden </w:t>
      </w:r>
      <w:r w:rsidR="00EE66D8">
        <w:t xml:space="preserve">ja yleisen järjestyksen </w:t>
      </w:r>
      <w:r w:rsidR="001E0C58">
        <w:t>vuoksi</w:t>
      </w:r>
      <w:r w:rsidR="00CA2FBE">
        <w:t>,</w:t>
      </w:r>
      <w:r w:rsidR="001E0C58">
        <w:t xml:space="preserve"> ja käytännössä sanavapautta jossakin tapauksissa rajoitetaan.</w:t>
      </w:r>
      <w:r w:rsidR="001E0C58">
        <w:rPr>
          <w:rStyle w:val="FootnoteReference"/>
        </w:rPr>
        <w:footnoteReference w:id="2"/>
      </w:r>
      <w:r w:rsidR="001E0C58">
        <w:t xml:space="preserve"> </w:t>
      </w:r>
      <w:r w:rsidR="002B0C43">
        <w:t>Helmikuussa 2022 Venäjän hyökkäyssodan alkamisen jälkeen voimaan astunut sotatilalaki mahdollistaa muun muassa tiedotusvälineiden toiminnan rajoittamisen.</w:t>
      </w:r>
      <w:r w:rsidR="002B0C43">
        <w:rPr>
          <w:rStyle w:val="FootnoteReference"/>
        </w:rPr>
        <w:footnoteReference w:id="3"/>
      </w:r>
      <w:r w:rsidR="00B85D37">
        <w:t xml:space="preserve"> </w:t>
      </w:r>
      <w:r w:rsidR="0003318E">
        <w:t>Yhdysvaltain ulkoasiainministeriön (USDOS) vuoden 2023 tapahtumia käsittelevän ihmisoikeusraportin mukaan</w:t>
      </w:r>
      <w:r w:rsidR="003241A8">
        <w:t xml:space="preserve"> hallitus on kieltänyt, sulkenut tai </w:t>
      </w:r>
      <w:r w:rsidR="00BB3F46">
        <w:t xml:space="preserve">asettanut seuraamuksia </w:t>
      </w:r>
      <w:r w:rsidR="003241A8">
        <w:t>tiedotusvälinei</w:t>
      </w:r>
      <w:r w:rsidR="00BB3F46">
        <w:t>lle</w:t>
      </w:r>
      <w:r w:rsidR="003241A8">
        <w:t xml:space="preserve"> ja yksittäisi</w:t>
      </w:r>
      <w:r w:rsidR="00BB3F46">
        <w:t>lle</w:t>
      </w:r>
      <w:r w:rsidR="003241A8">
        <w:t xml:space="preserve"> toimittaji</w:t>
      </w:r>
      <w:r w:rsidR="00BB3F46">
        <w:t>lle</w:t>
      </w:r>
      <w:r w:rsidR="003241A8">
        <w:t>, joiden katsotaan uhkaavan kansallista turvallisuutta tai jotka ilmaisivat kantoja, joiden viranomaiset uskoivat heikentävän valtion suvereniteettia ja alueellista koskemattomuutta.</w:t>
      </w:r>
      <w:r w:rsidR="00D266F0">
        <w:rPr>
          <w:rStyle w:val="FootnoteReference"/>
        </w:rPr>
        <w:footnoteReference w:id="4"/>
      </w:r>
      <w:r w:rsidR="003241A8">
        <w:t xml:space="preserve"> </w:t>
      </w:r>
      <w:r w:rsidR="00B96792" w:rsidRPr="00B96792">
        <w:t xml:space="preserve">Venäjän hyökkäyksen alkaessa </w:t>
      </w:r>
      <w:r w:rsidR="00B96792" w:rsidRPr="00B96792">
        <w:lastRenderedPageBreak/>
        <w:t xml:space="preserve">helmikuussa 2022 Ukrainan hallitus yhdisti kaikki televisiokanavat hallituksen </w:t>
      </w:r>
      <w:r w:rsidR="00B96792">
        <w:t>kontrolloimaksi</w:t>
      </w:r>
      <w:r w:rsidR="00B96792" w:rsidRPr="00B96792">
        <w:t xml:space="preserve"> </w:t>
      </w:r>
      <w:r w:rsidR="00B96792">
        <w:t xml:space="preserve">informaatioalustaksi, jonka uutisia </w:t>
      </w:r>
      <w:r w:rsidR="00B96792" w:rsidRPr="00B96792">
        <w:t>lähetetään ympäri vuorokauden kaikilla Ukrainan kanavilla.</w:t>
      </w:r>
      <w:r w:rsidR="00B96792">
        <w:rPr>
          <w:rStyle w:val="FootnoteReference"/>
        </w:rPr>
        <w:footnoteReference w:id="5"/>
      </w:r>
      <w:r w:rsidR="00F6718F">
        <w:t xml:space="preserve"> </w:t>
      </w:r>
    </w:p>
    <w:p w14:paraId="7FAF70B4" w14:textId="3BDF9260" w:rsidR="006C17A3" w:rsidRDefault="006C17A3" w:rsidP="005A49CD">
      <w:r>
        <w:t>Venäjän täysimittaisen hyökkäyksen ja s</w:t>
      </w:r>
      <w:r w:rsidR="00EE66D8">
        <w:t>amalla</w:t>
      </w:r>
      <w:r>
        <w:t xml:space="preserve"> lisääntyn</w:t>
      </w:r>
      <w:r w:rsidR="00EE66D8">
        <w:t>eiden</w:t>
      </w:r>
      <w:r>
        <w:t xml:space="preserve"> disinformaatio</w:t>
      </w:r>
      <w:r w:rsidR="00EE66D8">
        <w:t>kampanjoiden</w:t>
      </w:r>
      <w:r>
        <w:t xml:space="preserve"> ja kyberhyökkäysten </w:t>
      </w:r>
      <w:r w:rsidR="00EE66D8">
        <w:t>myötä</w:t>
      </w:r>
      <w:r>
        <w:t xml:space="preserve"> viranomaiset ovat kieltäneet, säännelleet ja välillä sensuroineet turvallisuhkana pidettyä</w:t>
      </w:r>
      <w:r w:rsidR="00EE66D8">
        <w:t xml:space="preserve"> tietoa,</w:t>
      </w:r>
      <w:r>
        <w:t xml:space="preserve"> etenkin Venäjältä lähtöisin olevaa disinformaatioita tai</w:t>
      </w:r>
      <w:r w:rsidR="00EE66D8" w:rsidRPr="00EE66D8">
        <w:t xml:space="preserve"> </w:t>
      </w:r>
      <w:r w:rsidR="00EE66D8">
        <w:t>Venäjä-myönteisiä näkemyksiä edistävää sisältöä</w:t>
      </w:r>
      <w:r w:rsidR="000629C5">
        <w:t>.</w:t>
      </w:r>
      <w:r w:rsidR="00392B6F" w:rsidRPr="00392B6F">
        <w:t xml:space="preserve"> </w:t>
      </w:r>
      <w:r w:rsidR="00392B6F">
        <w:t>Joidenkin tiedotusvälineiden vapautta ajavien ryhmittymien mukaan hallitus käyttää kansallista turvallisuutta verukkeena hiljentämään hallituksen toimiin kriittisesti suhtautuvia tiedotusvälineitä.</w:t>
      </w:r>
      <w:r w:rsidR="00392B6F">
        <w:rPr>
          <w:rStyle w:val="FootnoteReference"/>
        </w:rPr>
        <w:footnoteReference w:id="6"/>
      </w:r>
      <w:r w:rsidR="00392B6F">
        <w:t xml:space="preserve"> </w:t>
      </w:r>
      <w:r>
        <w:t>Hallituksen raportoidaan harjoittaneen sensuuria, rajoittaneen mediasisältöä ja rankaisseen yksittäisiä henkilöitä ja tiedotusvälineitä niiden kritisoitua viranomaistoimia tai ilmaistua Venäjä-myönteisiä kantoja asettamalla taloudellisia sanktioita, kieltämällä nettisivuja ja estämällä tv-kanavia.</w:t>
      </w:r>
      <w:r>
        <w:rPr>
          <w:rStyle w:val="FootnoteReference"/>
        </w:rPr>
        <w:footnoteReference w:id="7"/>
      </w:r>
      <w:r>
        <w:t xml:space="preserve"> </w:t>
      </w:r>
      <w:r w:rsidR="00392B6F">
        <w:t>Venäläisiä uutislähteitä ja toimittajia on estetty toimimasta, ja pääsy lukuisille venäläisille uutiskanaville, internetsivustoille ja sosiaalisen median alustoille on kielletty.</w:t>
      </w:r>
      <w:r w:rsidR="00392B6F">
        <w:rPr>
          <w:rStyle w:val="FootnoteReference"/>
        </w:rPr>
        <w:footnoteReference w:id="8"/>
      </w:r>
    </w:p>
    <w:p w14:paraId="55814570" w14:textId="5FD262B1" w:rsidR="005A49CD" w:rsidRDefault="00BB3F46" w:rsidP="005A49CD">
      <w:r>
        <w:t>H</w:t>
      </w:r>
      <w:r w:rsidR="003241A8">
        <w:t>allitukseen kriittisesti suhtautuvia tutkivia toimittajia vastaan on suunnattu toisinaan kielteisiä kampanjoita sosiaalisessa mediassa</w:t>
      </w:r>
      <w:r w:rsidR="003040F9">
        <w:t>, joskus hallitusmyönteisten</w:t>
      </w:r>
      <w:r w:rsidR="002851E5">
        <w:t xml:space="preserve"> sosiaalisen median</w:t>
      </w:r>
      <w:r w:rsidR="003040F9">
        <w:t xml:space="preserve"> kanavien kautta.</w:t>
      </w:r>
      <w:r w:rsidR="003040F9">
        <w:rPr>
          <w:rStyle w:val="FootnoteReference"/>
        </w:rPr>
        <w:footnoteReference w:id="9"/>
      </w:r>
      <w:r w:rsidR="003040F9">
        <w:t xml:space="preserve"> </w:t>
      </w:r>
      <w:r w:rsidR="007C3BD4">
        <w:t>Jotkut toimittajat ovat raportoineet, että turvallisuusviranomaiset ovat uhanneet heitä kutsunnoilla kostoksi siitä, että he ovat raportoineet kriittisesti hallinnosta</w:t>
      </w:r>
      <w:r w:rsidR="003241A8">
        <w:t>.</w:t>
      </w:r>
      <w:r w:rsidR="00133982">
        <w:rPr>
          <w:rStyle w:val="FootnoteReference"/>
        </w:rPr>
        <w:footnoteReference w:id="10"/>
      </w:r>
      <w:r w:rsidR="008771CB">
        <w:t xml:space="preserve"> </w:t>
      </w:r>
      <w:r w:rsidR="004664B6">
        <w:t xml:space="preserve">Lisäksi jotkut tiedotusvälineet ovat raportoineet </w:t>
      </w:r>
      <w:r w:rsidR="00535DFD">
        <w:t>turvallisuus</w:t>
      </w:r>
      <w:r w:rsidR="004664B6">
        <w:t>palvelu</w:t>
      </w:r>
      <w:r w:rsidR="00E1361F">
        <w:t xml:space="preserve">iden tarkkailleen </w:t>
      </w:r>
      <w:r w:rsidR="004664B6">
        <w:t>heidän työntek</w:t>
      </w:r>
      <w:r w:rsidR="00E1361F">
        <w:t>ijöitää</w:t>
      </w:r>
      <w:r w:rsidR="004664B6">
        <w:t>n.</w:t>
      </w:r>
      <w:r w:rsidR="00210586">
        <w:rPr>
          <w:rStyle w:val="FootnoteReference"/>
        </w:rPr>
        <w:footnoteReference w:id="11"/>
      </w:r>
      <w:r w:rsidR="003241A8">
        <w:t xml:space="preserve"> </w:t>
      </w:r>
      <w:r w:rsidR="005A49CD">
        <w:t>Presidentin kansliaa on syytetty</w:t>
      </w:r>
      <w:r w:rsidR="00590EF3">
        <w:t xml:space="preserve"> </w:t>
      </w:r>
      <w:proofErr w:type="spellStart"/>
      <w:r w:rsidR="007E17DB">
        <w:t>Ukrainska</w:t>
      </w:r>
      <w:proofErr w:type="spellEnd"/>
      <w:r w:rsidR="007E17DB">
        <w:t xml:space="preserve"> Pravda -</w:t>
      </w:r>
      <w:r w:rsidR="005A49CD">
        <w:t xml:space="preserve">uutissivuston </w:t>
      </w:r>
      <w:r w:rsidR="00C360C7">
        <w:t>painostuksesta</w:t>
      </w:r>
      <w:r w:rsidR="005D6D27">
        <w:t>. U</w:t>
      </w:r>
      <w:r w:rsidR="005A49CD">
        <w:t xml:space="preserve">krainan </w:t>
      </w:r>
      <w:r w:rsidR="005A49CD" w:rsidRPr="009B717A">
        <w:t xml:space="preserve">valtiollisen kansallisen </w:t>
      </w:r>
      <w:proofErr w:type="spellStart"/>
      <w:r w:rsidR="00C360C7">
        <w:t>Ukrinform</w:t>
      </w:r>
      <w:proofErr w:type="spellEnd"/>
      <w:r w:rsidR="00C360C7">
        <w:t>-</w:t>
      </w:r>
      <w:r w:rsidR="005A49CD" w:rsidRPr="009B717A">
        <w:t>uutistoimiston</w:t>
      </w:r>
      <w:r w:rsidR="00C360C7">
        <w:t xml:space="preserve"> </w:t>
      </w:r>
      <w:r w:rsidR="005A49CD" w:rsidRPr="009B717A">
        <w:t xml:space="preserve">työntekijöitä irtisanoutui </w:t>
      </w:r>
      <w:r w:rsidR="005A49CD">
        <w:t xml:space="preserve">vuonna 2024 </w:t>
      </w:r>
      <w:r w:rsidR="005A49CD" w:rsidRPr="009B717A">
        <w:t xml:space="preserve">vedoten kasvavaan paineeseen noudattaa </w:t>
      </w:r>
      <w:r w:rsidR="00E05080">
        <w:t>valtiovallan</w:t>
      </w:r>
      <w:r w:rsidR="005A49CD" w:rsidRPr="009B717A">
        <w:t xml:space="preserve"> raportointia koskevia ohjeita</w:t>
      </w:r>
      <w:r w:rsidR="005D6D27">
        <w:t>.</w:t>
      </w:r>
      <w:r w:rsidR="00D266F0">
        <w:t xml:space="preserve"> </w:t>
      </w:r>
      <w:proofErr w:type="spellStart"/>
      <w:r w:rsidR="005A49CD">
        <w:t>Ukrinformin</w:t>
      </w:r>
      <w:proofErr w:type="spellEnd"/>
      <w:r w:rsidR="005A49CD">
        <w:t xml:space="preserve"> pääjohtajaksi nimitettiin</w:t>
      </w:r>
      <w:r w:rsidR="005A49CD" w:rsidRPr="009B717A">
        <w:t xml:space="preserve"> sotilasupseeri</w:t>
      </w:r>
      <w:r w:rsidR="00D266F0">
        <w:t>, minkä on raportoitu uhkaavan lehdistönvapautta.</w:t>
      </w:r>
      <w:r w:rsidR="005A49CD">
        <w:rPr>
          <w:rStyle w:val="FootnoteReference"/>
        </w:rPr>
        <w:footnoteReference w:id="12"/>
      </w:r>
      <w:r w:rsidR="00D266F0">
        <w:t xml:space="preserve"> </w:t>
      </w:r>
      <w:proofErr w:type="spellStart"/>
      <w:r w:rsidR="005A49CD" w:rsidRPr="00D266F0">
        <w:t>USDOSin</w:t>
      </w:r>
      <w:proofErr w:type="spellEnd"/>
      <w:r w:rsidR="005A49CD" w:rsidRPr="00D266F0">
        <w:t xml:space="preserve"> raportissa viranomaistahojen mainitaan myös </w:t>
      </w:r>
      <w:r w:rsidR="005A49CD" w:rsidRPr="00D266F0">
        <w:lastRenderedPageBreak/>
        <w:t>panneen alulle ja hyväksyneen toimittajiin kohdistunutta häirintää, virkamiesten on raportoitu uhanneen hyökätä toimittajien kimppuun, korruptiosta raportoineisiin toimittajiin on kohdistunut hyökkäyksiä</w:t>
      </w:r>
      <w:r w:rsidR="00EB6845">
        <w:t>,</w:t>
      </w:r>
      <w:r w:rsidR="005A49CD" w:rsidRPr="00D266F0">
        <w:t xml:space="preserve"> ja hallitus on väitetysti uhannut asettaa toimittajia syytteeseen kostoksi heidän työstään.</w:t>
      </w:r>
      <w:r w:rsidR="005A49CD" w:rsidRPr="00D266F0">
        <w:rPr>
          <w:rStyle w:val="FootnoteReference"/>
        </w:rPr>
        <w:footnoteReference w:id="13"/>
      </w:r>
      <w:r w:rsidR="005A49CD" w:rsidRPr="00D266F0">
        <w:t xml:space="preserve">  </w:t>
      </w:r>
    </w:p>
    <w:p w14:paraId="36151DA8" w14:textId="65837C25" w:rsidR="00AB24EB" w:rsidRPr="00D266F0" w:rsidRDefault="00AB24EB" w:rsidP="005A49CD">
      <w:r>
        <w:t xml:space="preserve">Ukrainalainen toimittajien oikeuksia </w:t>
      </w:r>
      <w:r w:rsidR="00C360C7">
        <w:t>puo</w:t>
      </w:r>
      <w:r w:rsidR="00C360C7" w:rsidRPr="00057604">
        <w:t>l</w:t>
      </w:r>
      <w:r w:rsidR="00C360C7">
        <w:t>ustava</w:t>
      </w:r>
      <w:r>
        <w:t xml:space="preserve"> I</w:t>
      </w:r>
      <w:r w:rsidRPr="00057604">
        <w:t xml:space="preserve">nstitute Of </w:t>
      </w:r>
      <w:proofErr w:type="spellStart"/>
      <w:r w:rsidRPr="00057604">
        <w:t>Mass</w:t>
      </w:r>
      <w:proofErr w:type="spellEnd"/>
      <w:r w:rsidRPr="00057604">
        <w:t xml:space="preserve"> </w:t>
      </w:r>
      <w:proofErr w:type="spellStart"/>
      <w:r w:rsidRPr="00057604">
        <w:t>Informatio</w:t>
      </w:r>
      <w:r>
        <w:t>n</w:t>
      </w:r>
      <w:proofErr w:type="spellEnd"/>
      <w:r>
        <w:t xml:space="preserve"> (IMI) -kansalaisjärjestö raportoi vuotuisen sananvapausmonitorointinsa tuloksena</w:t>
      </w:r>
      <w:r w:rsidRPr="00057604">
        <w:t xml:space="preserve"> vuonna 2024</w:t>
      </w:r>
      <w:r>
        <w:t xml:space="preserve"> Ukrainassa rekisteröidyn </w:t>
      </w:r>
      <w:r w:rsidRPr="00057604">
        <w:t>268 sana</w:t>
      </w:r>
      <w:r>
        <w:t>nvapauden loukkausta, joista 155 oli Venäjän tekemiä ja 1</w:t>
      </w:r>
      <w:r w:rsidR="00AD6995">
        <w:t>1</w:t>
      </w:r>
      <w:r>
        <w:t xml:space="preserve">3 Ukrainan. </w:t>
      </w:r>
      <w:r w:rsidRPr="00776F4A">
        <w:t>Vuonna 2023 IMI raportoi 150 sananvapauden loukkauksesta, joista 67 oli Venäjän</w:t>
      </w:r>
      <w:r>
        <w:t xml:space="preserve"> t</w:t>
      </w:r>
      <w:r w:rsidRPr="00776F4A">
        <w:t>ekemiä.</w:t>
      </w:r>
      <w:r>
        <w:rPr>
          <w:rStyle w:val="FootnoteReference"/>
        </w:rPr>
        <w:footnoteReference w:id="14"/>
      </w:r>
      <w:r>
        <w:t xml:space="preserve"> </w:t>
      </w:r>
      <w:r w:rsidRPr="00DA0BE1">
        <w:t xml:space="preserve">Ukrainan tekemien sananvapausloukkausten </w:t>
      </w:r>
      <w:r>
        <w:t>joukossa vuonna 2024 oli 23 kyberhyökkäystä, 21 tapausta, jossa laillista raportointia estettiin, 19 epäsuoran painostuksen tapausta ja 18 tapausta, jossa estettiin pääsy julkiseen tietoon. Vuonna 2024 lehdistön oikeu</w:t>
      </w:r>
      <w:r w:rsidR="00026291">
        <w:t>ksia</w:t>
      </w:r>
      <w:r>
        <w:t xml:space="preserve"> loukkasivat eniten yksityiset kansalaiset, paikalliset itsehallintoelimet, lainvalvontaviranomaiset, </w:t>
      </w:r>
      <w:r w:rsidRPr="00D536F0">
        <w:t xml:space="preserve">keskus- ja toimeenpanoviranomaiset, </w:t>
      </w:r>
      <w:r>
        <w:t xml:space="preserve">ja </w:t>
      </w:r>
      <w:r w:rsidRPr="00D536F0">
        <w:t>oikeusviranomaiset</w:t>
      </w:r>
      <w:r>
        <w:t xml:space="preserve"> kaikkiaan 22 Ukrainan alueella.</w:t>
      </w:r>
      <w:r>
        <w:rPr>
          <w:rStyle w:val="FootnoteReference"/>
        </w:rPr>
        <w:footnoteReference w:id="15"/>
      </w:r>
      <w:r>
        <w:t xml:space="preserve"> </w:t>
      </w:r>
    </w:p>
    <w:p w14:paraId="43033C98" w14:textId="41054E3D" w:rsidR="00395BE8" w:rsidRDefault="00395BE8" w:rsidP="00F512DF">
      <w:proofErr w:type="spellStart"/>
      <w:r w:rsidRPr="00BD275C">
        <w:t>Freedom</w:t>
      </w:r>
      <w:proofErr w:type="spellEnd"/>
      <w:r w:rsidRPr="00BD275C">
        <w:t xml:space="preserve"> Housen Ukrainaa koskevan </w:t>
      </w:r>
      <w:r w:rsidR="00664430">
        <w:t xml:space="preserve">vuoden 2023 tapahtumia käsittelevän </w:t>
      </w:r>
      <w:proofErr w:type="spellStart"/>
      <w:r w:rsidRPr="00BD275C">
        <w:t>Freedom</w:t>
      </w:r>
      <w:proofErr w:type="spellEnd"/>
      <w:r w:rsidRPr="00BD275C">
        <w:t xml:space="preserve"> in </w:t>
      </w:r>
      <w:proofErr w:type="spellStart"/>
      <w:r w:rsidRPr="00BD275C">
        <w:t>the</w:t>
      </w:r>
      <w:proofErr w:type="spellEnd"/>
      <w:r w:rsidRPr="00BD275C">
        <w:t xml:space="preserve"> </w:t>
      </w:r>
      <w:proofErr w:type="spellStart"/>
      <w:r w:rsidRPr="00BD275C">
        <w:t>world</w:t>
      </w:r>
      <w:proofErr w:type="spellEnd"/>
      <w:r w:rsidRPr="00BD275C">
        <w:t xml:space="preserve"> 2024 -raportin mukaan Ukrainan hallituksen </w:t>
      </w:r>
      <w:r>
        <w:t>hallussa olevilla alueilla ukrainalaisilla on yleisesti mahdollisuus avoimeen ja vapaaseen yksityiseen keskusteluun.</w:t>
      </w:r>
      <w:r w:rsidR="007E17DB">
        <w:rPr>
          <w:rStyle w:val="FootnoteReference"/>
        </w:rPr>
        <w:footnoteReference w:id="16"/>
      </w:r>
      <w:r>
        <w:t xml:space="preserve"> Myös </w:t>
      </w:r>
      <w:proofErr w:type="spellStart"/>
      <w:r>
        <w:t>USDOSin</w:t>
      </w:r>
      <w:proofErr w:type="spellEnd"/>
      <w:r>
        <w:t xml:space="preserve"> raportin mukaan muutamia poikkeuksia lukuun ottamatta Ukrainan </w:t>
      </w:r>
      <w:r w:rsidR="00747358">
        <w:t>hallituksen</w:t>
      </w:r>
      <w:r>
        <w:t xml:space="preserve"> hallussa olevilla alueilla ihmiset voivat yleensä kritisoida hallitusta julkisesti ja yksityisesti ja keskustella yleistä etua koskevista asioista ilman pelkoa viranomaisten kostotoimista.</w:t>
      </w:r>
      <w:r>
        <w:rPr>
          <w:rStyle w:val="FootnoteReference"/>
        </w:rPr>
        <w:footnoteReference w:id="17"/>
      </w:r>
      <w:r>
        <w:t xml:space="preserve"> </w:t>
      </w:r>
      <w:proofErr w:type="spellStart"/>
      <w:r>
        <w:t>Freedom</w:t>
      </w:r>
      <w:proofErr w:type="spellEnd"/>
      <w:r>
        <w:t xml:space="preserve"> Housen Ukraina-raportissa mainitaan, että sota-aika on </w:t>
      </w:r>
      <w:r w:rsidR="00747358">
        <w:t xml:space="preserve">kuitenkin </w:t>
      </w:r>
      <w:r>
        <w:t>vaikuttanut poliittiseen ilmaisuun; kiivas keskustelu mediassa ja väkivalta kiistanalaisia näkemyksiä esittäviä henkilöitä kohtaan eivät ole harvinaisia, mikä todennäköisesti on lisännyt tavallisten ihmisten itsesensuuria.</w:t>
      </w:r>
      <w:r>
        <w:rPr>
          <w:rStyle w:val="FootnoteReference"/>
        </w:rPr>
        <w:footnoteReference w:id="18"/>
      </w:r>
      <w:r>
        <w:t xml:space="preserve"> </w:t>
      </w:r>
      <w:r w:rsidR="006907CC">
        <w:t xml:space="preserve">Digitaalisen median ja internetin vapautta Ukrainassa kesäkuun 2023 ja toukokuun 2024 välillä käsittelevän </w:t>
      </w:r>
      <w:proofErr w:type="spellStart"/>
      <w:r w:rsidR="007A48F5">
        <w:t>Freedom</w:t>
      </w:r>
      <w:proofErr w:type="spellEnd"/>
      <w:r w:rsidR="007A48F5">
        <w:t xml:space="preserve"> Housen </w:t>
      </w:r>
      <w:proofErr w:type="spellStart"/>
      <w:r w:rsidRPr="00A616FA">
        <w:t>Freedom</w:t>
      </w:r>
      <w:proofErr w:type="spellEnd"/>
      <w:r w:rsidRPr="00A616FA">
        <w:t xml:space="preserve"> on </w:t>
      </w:r>
      <w:proofErr w:type="spellStart"/>
      <w:r w:rsidRPr="00A616FA">
        <w:t>the</w:t>
      </w:r>
      <w:proofErr w:type="spellEnd"/>
      <w:r w:rsidRPr="00A616FA">
        <w:t xml:space="preserve"> net</w:t>
      </w:r>
      <w:r w:rsidR="006907CC">
        <w:t xml:space="preserve"> 2024</w:t>
      </w:r>
      <w:r w:rsidRPr="00A616FA">
        <w:t xml:space="preserve"> -raportin mukaan verkossa toimiv</w:t>
      </w:r>
      <w:r>
        <w:t>iin</w:t>
      </w:r>
      <w:r w:rsidRPr="00A616FA">
        <w:t xml:space="preserve"> toimittaj</w:t>
      </w:r>
      <w:r>
        <w:t>iin</w:t>
      </w:r>
      <w:r w:rsidRPr="00A616FA">
        <w:t xml:space="preserve"> ja tavalli</w:t>
      </w:r>
      <w:r>
        <w:t>siin</w:t>
      </w:r>
      <w:r w:rsidRPr="00A616FA">
        <w:t xml:space="preserve"> internet-käyttäjiin kohdistuu </w:t>
      </w:r>
      <w:r>
        <w:t>painetta itsesensuuriin etenkin separatismiin, yhteistoimintaan vihollisen kanssa, terrorismiin ja Venäjään liittyvissä aiheissa.</w:t>
      </w:r>
      <w:r>
        <w:rPr>
          <w:rStyle w:val="FootnoteReference"/>
        </w:rPr>
        <w:footnoteReference w:id="19"/>
      </w:r>
      <w:r>
        <w:t xml:space="preserve"> </w:t>
      </w:r>
    </w:p>
    <w:p w14:paraId="08454A6E" w14:textId="0AFB3A49" w:rsidR="00057604" w:rsidRPr="00DA0BE1" w:rsidRDefault="00395BE8" w:rsidP="00DC5A9D">
      <w:r w:rsidRPr="00DA0BE1">
        <w:t>Ukrainan presidentti allekirjoitti joulukuussa 2022 kiistanalaisen lain, joka lisäsi hallituksen määräysvaltaa painettuun ja sähköiseen mediaan ”näennäisesti</w:t>
      </w:r>
      <w:r w:rsidR="001D3E6A" w:rsidRPr="00DA0BE1">
        <w:t>”</w:t>
      </w:r>
      <w:r w:rsidRPr="00DA0BE1">
        <w:t xml:space="preserve"> estämään venäläisen propagandan</w:t>
      </w:r>
      <w:r w:rsidR="001D3E6A" w:rsidRPr="00DA0BE1">
        <w:t xml:space="preserve"> mahdollista</w:t>
      </w:r>
      <w:r w:rsidRPr="00DA0BE1">
        <w:t xml:space="preserve"> leviämistä</w:t>
      </w:r>
      <w:r w:rsidR="00C44AEF" w:rsidRPr="00DA0BE1">
        <w:t>. Laki sallii muun muassa viranomaisten sulkea rekisteröimättömiä uutissivustoja ilman oikeuden päätöstä.</w:t>
      </w:r>
      <w:r w:rsidR="00C44AEF" w:rsidRPr="00DA0BE1">
        <w:rPr>
          <w:rStyle w:val="FootnoteReference"/>
        </w:rPr>
        <w:footnoteReference w:id="20"/>
      </w:r>
      <w:r w:rsidR="00C44AEF" w:rsidRPr="00DA0BE1">
        <w:t xml:space="preserve"> </w:t>
      </w:r>
    </w:p>
    <w:p w14:paraId="02404F00" w14:textId="79206B7E" w:rsidR="00AB24EB" w:rsidRDefault="00AB24EB" w:rsidP="00AB24EB">
      <w:pPr>
        <w:pStyle w:val="Numeroimatonotsikko"/>
      </w:pPr>
      <w:r>
        <w:t>Sanan- ja ilmaisunvapaus Venäjän miehittämillä alueilla</w:t>
      </w:r>
    </w:p>
    <w:p w14:paraId="61673D76" w14:textId="1E25FACB" w:rsidR="001726F3" w:rsidRDefault="00A56D5B" w:rsidP="002B169F">
      <w:proofErr w:type="spellStart"/>
      <w:r>
        <w:t>Freedom</w:t>
      </w:r>
      <w:proofErr w:type="spellEnd"/>
      <w:r>
        <w:t xml:space="preserve"> Hous</w:t>
      </w:r>
      <w:r w:rsidR="007A162F">
        <w:t>e</w:t>
      </w:r>
      <w:r>
        <w:t xml:space="preserve"> </w:t>
      </w:r>
      <w:r w:rsidR="007A162F">
        <w:t>ja USDOS raportoivat</w:t>
      </w:r>
      <w:r>
        <w:t xml:space="preserve"> </w:t>
      </w:r>
      <w:r w:rsidR="007A162F">
        <w:t xml:space="preserve">Venäjän </w:t>
      </w:r>
      <w:r>
        <w:t>miehittäjä</w:t>
      </w:r>
      <w:r w:rsidRPr="001227F1">
        <w:t>viranomai</w:t>
      </w:r>
      <w:r w:rsidR="007A162F">
        <w:t>sten</w:t>
      </w:r>
      <w:r w:rsidRPr="00F512DF">
        <w:t xml:space="preserve"> </w:t>
      </w:r>
      <w:r w:rsidRPr="001227F1">
        <w:t>rajoitta</w:t>
      </w:r>
      <w:r>
        <w:t>v</w:t>
      </w:r>
      <w:r w:rsidR="007A162F">
        <w:t>an</w:t>
      </w:r>
      <w:r w:rsidRPr="001227F1">
        <w:t xml:space="preserve"> ilmais</w:t>
      </w:r>
      <w:r>
        <w:t>u</w:t>
      </w:r>
      <w:r w:rsidRPr="001227F1">
        <w:t>nvapautta</w:t>
      </w:r>
      <w:r w:rsidR="007A162F">
        <w:t xml:space="preserve"> </w:t>
      </w:r>
      <w:r w:rsidR="007A1F40">
        <w:t xml:space="preserve">vakavasti </w:t>
      </w:r>
      <w:r w:rsidR="007A162F">
        <w:t>miehitetyillä alueilla.</w:t>
      </w:r>
      <w:r w:rsidR="007A162F">
        <w:rPr>
          <w:rStyle w:val="FootnoteReference"/>
        </w:rPr>
        <w:footnoteReference w:id="21"/>
      </w:r>
      <w:r w:rsidR="007A162F">
        <w:t xml:space="preserve"> </w:t>
      </w:r>
      <w:r w:rsidR="0075268A">
        <w:t>Miehittäjäviranomaiset v</w:t>
      </w:r>
      <w:r w:rsidR="0075268A" w:rsidRPr="001227F1">
        <w:t>astaavat toisinajatteluun sorrolla ja välivallalla, muun muassa mielivaltaisilla pidätyksillä, pahoinpitelyillä ja seksuaalisella väkivallalla.</w:t>
      </w:r>
      <w:r w:rsidR="0075268A">
        <w:rPr>
          <w:rStyle w:val="FootnoteReference"/>
        </w:rPr>
        <w:footnoteReference w:id="22"/>
      </w:r>
      <w:r w:rsidR="0075268A">
        <w:t xml:space="preserve"> </w:t>
      </w:r>
      <w:r w:rsidR="004B4474">
        <w:t>Y</w:t>
      </w:r>
      <w:r w:rsidR="004B4474" w:rsidRPr="007A1F40">
        <w:t>ksittäiset henkilöt eivät voi julkisesti kritisoid</w:t>
      </w:r>
      <w:r w:rsidR="004B4474">
        <w:t>a</w:t>
      </w:r>
      <w:r w:rsidR="004B4474" w:rsidRPr="007A1F40">
        <w:t xml:space="preserve"> Venäjän miehitystä </w:t>
      </w:r>
      <w:r w:rsidR="004B4474" w:rsidRPr="007A1F40">
        <w:lastRenderedPageBreak/>
        <w:t>ilman p</w:t>
      </w:r>
      <w:r w:rsidR="004B4474">
        <w:t xml:space="preserve">elkoa kostotoimista. </w:t>
      </w:r>
      <w:r w:rsidR="004B4474" w:rsidRPr="007A1F40">
        <w:t>Ihmisoikeusjärjestöt raportoivat Venäjän turval</w:t>
      </w:r>
      <w:r w:rsidR="004B4474">
        <w:t>lisu</w:t>
      </w:r>
      <w:r w:rsidR="004B4474" w:rsidRPr="007A1F40">
        <w:t xml:space="preserve">uspalvelu </w:t>
      </w:r>
      <w:proofErr w:type="spellStart"/>
      <w:r w:rsidR="004B4474" w:rsidRPr="007A1F40">
        <w:t>FSB:n</w:t>
      </w:r>
      <w:proofErr w:type="spellEnd"/>
      <w:r w:rsidR="004B4474" w:rsidRPr="007A1F40">
        <w:t xml:space="preserve"> tarkkailevan laaja-alaisesti s</w:t>
      </w:r>
      <w:r w:rsidR="004B4474">
        <w:t>osiaalista mediaa, puhelimia ja sähköisiä viestintä</w:t>
      </w:r>
      <w:r w:rsidR="001F34BC">
        <w:t>ä</w:t>
      </w:r>
      <w:r w:rsidR="004B4474">
        <w:t xml:space="preserve"> ja rutiininomaisesti kutsuvan henkilöitä ”keskusteluihin”, jos he ovat puheissaan tai julkaisuissaan vastustaneet miehitystä.</w:t>
      </w:r>
      <w:r w:rsidR="00FC14A5">
        <w:rPr>
          <w:rStyle w:val="FootnoteReference"/>
        </w:rPr>
        <w:footnoteReference w:id="23"/>
      </w:r>
      <w:r w:rsidR="00FC14A5">
        <w:t xml:space="preserve"> Amnesty Internationalin</w:t>
      </w:r>
      <w:r w:rsidR="00A76A25">
        <w:t xml:space="preserve"> vuoden 2023 tapahtumia käsittelevän ihmisoikeusraportin</w:t>
      </w:r>
      <w:r w:rsidR="00FC14A5">
        <w:t xml:space="preserve"> mukaan </w:t>
      </w:r>
      <w:r w:rsidR="00A76A25">
        <w:t xml:space="preserve">Venäjän miehittämillä alueilla Ukrainassa valvotaan </w:t>
      </w:r>
      <w:r w:rsidR="00774370">
        <w:t xml:space="preserve">kaikenlaisia </w:t>
      </w:r>
      <w:r w:rsidR="00FC14A5">
        <w:t>merkkejä epälojaalisuudesta Venäjää kohtaan</w:t>
      </w:r>
      <w:r w:rsidR="0075268A">
        <w:t>. Esimerkkinä mainitaan Ukraina-aiheinen sisältö henkilökohtaisissa elektroniikkalaitteissa, kuten viestinvaihto Ukrainan hallitsemilla alueilla asuvien perheenjäsenten kanssa. Rangaistuksena epälojaalisuudesta käytetään muun muassa tahdonvastaisia katoamisia, mielivaltaisia pidätyksiä, kuulusteluja, ja karkottamisen uhkaa.</w:t>
      </w:r>
      <w:r w:rsidR="0075268A">
        <w:rPr>
          <w:rStyle w:val="FootnoteReference"/>
        </w:rPr>
        <w:footnoteReference w:id="24"/>
      </w:r>
      <w:r w:rsidR="00774370">
        <w:t xml:space="preserve"> </w:t>
      </w:r>
      <w:r w:rsidR="004B4474" w:rsidRPr="007A1F40">
        <w:t xml:space="preserve">Miehittäjäviranomaiset käyttävät </w:t>
      </w:r>
      <w:r w:rsidR="00774370">
        <w:t xml:space="preserve">myös </w:t>
      </w:r>
      <w:r w:rsidR="004B4474" w:rsidRPr="007A1F40">
        <w:t>kansallisen turvallisuuden suojelemiseen liittyviä</w:t>
      </w:r>
      <w:r w:rsidR="004B4474">
        <w:t xml:space="preserve"> lakeja kostaakseen Venäjän miehitystä vastustaville henkilöille</w:t>
      </w:r>
      <w:r w:rsidR="008F7769">
        <w:t>,</w:t>
      </w:r>
      <w:r w:rsidR="004B4474">
        <w:t xml:space="preserve"> ja miehityksen näkyviä kriitikkoja on lisätty </w:t>
      </w:r>
      <w:proofErr w:type="spellStart"/>
      <w:r w:rsidR="004B4474">
        <w:t>ekstremistien</w:t>
      </w:r>
      <w:proofErr w:type="spellEnd"/>
      <w:r w:rsidR="004B4474">
        <w:t xml:space="preserve"> ja terroristien listalle.</w:t>
      </w:r>
      <w:r w:rsidR="004B4474">
        <w:rPr>
          <w:rStyle w:val="FootnoteReference"/>
        </w:rPr>
        <w:footnoteReference w:id="25"/>
      </w:r>
      <w:r w:rsidR="004B4474">
        <w:t xml:space="preserve"> </w:t>
      </w:r>
      <w:r w:rsidR="00774370" w:rsidRPr="00774370">
        <w:t xml:space="preserve">Ukrainan paikallisviranomaisten edustajia </w:t>
      </w:r>
      <w:r w:rsidR="00774370">
        <w:t>on peloteltu</w:t>
      </w:r>
      <w:r w:rsidR="00774370" w:rsidRPr="00774370">
        <w:t xml:space="preserve"> osallistumaan miehitystä tukeviin julkisiin tilaisuuksiin väkivallalla ja uhkaamalla heidän sukulaisiaan.</w:t>
      </w:r>
      <w:r w:rsidR="00774370">
        <w:rPr>
          <w:rStyle w:val="FootnoteReference"/>
        </w:rPr>
        <w:footnoteReference w:id="26"/>
      </w:r>
      <w:r w:rsidR="00251775">
        <w:t xml:space="preserve"> </w:t>
      </w:r>
    </w:p>
    <w:p w14:paraId="738D4C20" w14:textId="369A6ED0" w:rsidR="002B169F" w:rsidRPr="00DA0BE1" w:rsidRDefault="007A162F" w:rsidP="002B169F">
      <w:r>
        <w:t xml:space="preserve">Venäjän joukot tukahduttavat </w:t>
      </w:r>
      <w:r w:rsidRPr="007A162F">
        <w:t xml:space="preserve">lehdistövapautta ahdistelemalla, pelottelemalla, </w:t>
      </w:r>
      <w:r w:rsidR="002371DB">
        <w:t xml:space="preserve">sekä kohdistamalla </w:t>
      </w:r>
      <w:r w:rsidRPr="007A162F">
        <w:t>siepp</w:t>
      </w:r>
      <w:r w:rsidR="002371DB">
        <w:t>auksia</w:t>
      </w:r>
      <w:r w:rsidRPr="007A162F">
        <w:t xml:space="preserve"> ja </w:t>
      </w:r>
      <w:r>
        <w:t>fyysis</w:t>
      </w:r>
      <w:r w:rsidR="002371DB">
        <w:t>iä</w:t>
      </w:r>
      <w:r>
        <w:t xml:space="preserve"> </w:t>
      </w:r>
      <w:r w:rsidRPr="007A162F">
        <w:t>hyök</w:t>
      </w:r>
      <w:r>
        <w:t>käyksi</w:t>
      </w:r>
      <w:r w:rsidR="002371DB">
        <w:t xml:space="preserve">ä </w:t>
      </w:r>
      <w:r w:rsidRPr="007A162F">
        <w:t xml:space="preserve">toimittajia ja tiedotusvälineitä </w:t>
      </w:r>
      <w:r>
        <w:t xml:space="preserve">kohtaan. </w:t>
      </w:r>
      <w:r w:rsidR="002371DB">
        <w:t>Venäjän joukot</w:t>
      </w:r>
      <w:r w:rsidRPr="007A162F">
        <w:t xml:space="preserve"> myös est</w:t>
      </w:r>
      <w:r w:rsidR="00416754">
        <w:t>ävät</w:t>
      </w:r>
      <w:r w:rsidRPr="007A162F">
        <w:t xml:space="preserve"> ukrainalaisten ja riippumattomien televisio- ja radio-ohjelmien lähettämisen miehittämillään alueilla.</w:t>
      </w:r>
      <w:r>
        <w:rPr>
          <w:rStyle w:val="FootnoteReference"/>
        </w:rPr>
        <w:footnoteReference w:id="27"/>
      </w:r>
      <w:r>
        <w:t xml:space="preserve"> </w:t>
      </w:r>
      <w:r w:rsidR="00B062D0">
        <w:t>Miehitetyillä alueilla on tuomittu toimittajia esimerkiksi Venäjän hyökkäyksen kutsumisesta sodaksi.</w:t>
      </w:r>
      <w:r w:rsidR="00B062D0">
        <w:rPr>
          <w:rStyle w:val="FootnoteReference"/>
        </w:rPr>
        <w:footnoteReference w:id="28"/>
      </w:r>
      <w:r w:rsidR="001726F3">
        <w:t xml:space="preserve"> </w:t>
      </w:r>
      <w:r w:rsidR="001726F3" w:rsidRPr="00DA0BE1">
        <w:t xml:space="preserve">Sodan alusta vuoden 2025 helmikuuhun mennessä </w:t>
      </w:r>
      <w:r w:rsidR="002371DB" w:rsidRPr="00DA0BE1">
        <w:t xml:space="preserve">IMI on kirjannut Venäjän aiheuttaneen Ukrainassa </w:t>
      </w:r>
      <w:r w:rsidR="001726F3" w:rsidRPr="00DA0BE1">
        <w:t xml:space="preserve">muun muassa 97 toimittajan kuolemaa, </w:t>
      </w:r>
      <w:r w:rsidR="00590DDC" w:rsidRPr="00DA0BE1">
        <w:t xml:space="preserve">joista 72 </w:t>
      </w:r>
      <w:r w:rsidR="004C4711" w:rsidRPr="00DA0BE1">
        <w:t xml:space="preserve">tapahtui </w:t>
      </w:r>
      <w:r w:rsidR="00590DDC" w:rsidRPr="00DA0BE1">
        <w:t xml:space="preserve">taisteluissa, </w:t>
      </w:r>
      <w:r w:rsidR="001726F3" w:rsidRPr="00DA0BE1">
        <w:t>29 kidnappausta, 127 tappouhkausta sekä häirintä- ja pelottelutapausta</w:t>
      </w:r>
      <w:r w:rsidR="00590DDC" w:rsidRPr="00DA0BE1">
        <w:t xml:space="preserve"> ja </w:t>
      </w:r>
      <w:r w:rsidR="001726F3" w:rsidRPr="00DA0BE1">
        <w:t>100 kyberrikosta.</w:t>
      </w:r>
      <w:r w:rsidR="001726F3" w:rsidRPr="00DA0BE1">
        <w:rPr>
          <w:rStyle w:val="FootnoteReference"/>
        </w:rPr>
        <w:footnoteReference w:id="29"/>
      </w:r>
      <w:r w:rsidR="001726F3" w:rsidRPr="00DA0BE1">
        <w:t xml:space="preserve"> </w:t>
      </w:r>
      <w:r w:rsidR="00CA1BCF" w:rsidRPr="00DA0BE1">
        <w:t xml:space="preserve">Kaikki artikkelissa listatut tapaukset eivät ole tapahtuneet </w:t>
      </w:r>
      <w:r w:rsidR="001726F3" w:rsidRPr="00DA0BE1">
        <w:t>miehitetyillä alueilla.</w:t>
      </w:r>
    </w:p>
    <w:p w14:paraId="7DDC0189" w14:textId="0506AF7B" w:rsidR="00ED5C47" w:rsidRDefault="00246EF2" w:rsidP="00A56D5B">
      <w:proofErr w:type="spellStart"/>
      <w:r>
        <w:t>Freedom</w:t>
      </w:r>
      <w:proofErr w:type="spellEnd"/>
      <w:r>
        <w:t xml:space="preserve"> Housen Krimin vuoden 2023 tapahtumia koskevan raportin mukaan t</w:t>
      </w:r>
      <w:r w:rsidRPr="00246EF2">
        <w:t>iedotusvälineiden vapautta on Krimillä rajoitettu ankarast</w:t>
      </w:r>
      <w:r>
        <w:t>i</w:t>
      </w:r>
      <w:r w:rsidR="00BA4610">
        <w:t>,</w:t>
      </w:r>
      <w:r>
        <w:t xml:space="preserve"> ja</w:t>
      </w:r>
      <w:r w:rsidRPr="00246EF2">
        <w:t xml:space="preserve"> </w:t>
      </w:r>
      <w:r>
        <w:t>r</w:t>
      </w:r>
      <w:r w:rsidRPr="00246EF2">
        <w:t>iippumattomat ja Ukraina</w:t>
      </w:r>
      <w:r>
        <w:t>-</w:t>
      </w:r>
      <w:r w:rsidRPr="00246EF2">
        <w:t xml:space="preserve">myönteiset tiedotusvälineet eivät toimi </w:t>
      </w:r>
      <w:r>
        <w:t xml:space="preserve">alueella </w:t>
      </w:r>
      <w:r w:rsidRPr="00246EF2">
        <w:t>avoimesti</w:t>
      </w:r>
      <w:r>
        <w:t>. Venäjän r</w:t>
      </w:r>
      <w:r w:rsidRPr="00246EF2">
        <w:t>ikosla</w:t>
      </w:r>
      <w:r w:rsidR="001F0B72">
        <w:t>ki</w:t>
      </w:r>
      <w:r w:rsidRPr="00246EF2">
        <w:t xml:space="preserve"> määr</w:t>
      </w:r>
      <w:r w:rsidR="001F0B72">
        <w:t>ää</w:t>
      </w:r>
      <w:r w:rsidRPr="00246EF2">
        <w:t xml:space="preserve"> vankeusrangaist</w:t>
      </w:r>
      <w:r w:rsidR="001F0B72">
        <w:t>uksen</w:t>
      </w:r>
      <w:r w:rsidRPr="00246EF2">
        <w:t xml:space="preserve"> julkisista kehotuksista toimia Venäjän alueellista koskemattomuutta vastaan, minkä </w:t>
      </w:r>
      <w:r>
        <w:t>tulkitaan</w:t>
      </w:r>
      <w:r w:rsidRPr="00246EF2">
        <w:t xml:space="preserve"> kieltävän </w:t>
      </w:r>
      <w:r w:rsidR="00580C8E">
        <w:t xml:space="preserve">Krimin </w:t>
      </w:r>
      <w:r w:rsidRPr="00246EF2">
        <w:t>liittämistä vastustavat lausunnot myös tiedotusvälineissä.</w:t>
      </w:r>
      <w:r w:rsidR="001F0B72">
        <w:t xml:space="preserve"> </w:t>
      </w:r>
      <w:r w:rsidR="001F0B72" w:rsidRPr="001F0B72">
        <w:t xml:space="preserve">Ainakin yksi toimittaja on siepattu </w:t>
      </w:r>
      <w:r w:rsidR="00580C8E">
        <w:t>Venäjän vuoden 2022 jälkeen miehittämällä</w:t>
      </w:r>
      <w:r w:rsidR="001F0B72" w:rsidRPr="001F0B72">
        <w:t xml:space="preserve"> alue</w:t>
      </w:r>
      <w:r w:rsidR="00580C8E">
        <w:t>ella</w:t>
      </w:r>
      <w:r w:rsidR="001F0B72" w:rsidRPr="001F0B72">
        <w:t xml:space="preserve"> ja tuomittu Krimillä</w:t>
      </w:r>
      <w:r w:rsidR="001F0B72">
        <w:t xml:space="preserve">. Venäjän turvallisuuspalvelu </w:t>
      </w:r>
      <w:proofErr w:type="spellStart"/>
      <w:r w:rsidR="001F0B72" w:rsidRPr="001F0B72">
        <w:t>FSB:n</w:t>
      </w:r>
      <w:proofErr w:type="spellEnd"/>
      <w:r w:rsidR="001F0B72" w:rsidRPr="001F0B72">
        <w:t xml:space="preserve"> on kerrottu kannustavan </w:t>
      </w:r>
      <w:r w:rsidR="001F0B72">
        <w:t xml:space="preserve">Krimin </w:t>
      </w:r>
      <w:r w:rsidR="001F0B72" w:rsidRPr="001F0B72">
        <w:t>asukkaita ilmoittamaan henkilöistä, jotka vastustavat Krimin miehitystä tai helmikuu</w:t>
      </w:r>
      <w:r w:rsidR="001F0B72">
        <w:t>n</w:t>
      </w:r>
      <w:r w:rsidR="001F0B72" w:rsidRPr="001F0B72">
        <w:t xml:space="preserve"> 2022 hyökkäystä Ukrainaan</w:t>
      </w:r>
      <w:r w:rsidR="001F0B72">
        <w:t xml:space="preserve">. </w:t>
      </w:r>
      <w:r w:rsidR="001F0B72" w:rsidRPr="001F0B72">
        <w:t>Viranomaisten on raportoitu valvovan sosiaalisen median kommentteja.</w:t>
      </w:r>
      <w:r w:rsidR="004E5AF5" w:rsidRPr="004E5AF5">
        <w:rPr>
          <w:color w:val="FF0000"/>
        </w:rPr>
        <w:t xml:space="preserve"> </w:t>
      </w:r>
      <w:proofErr w:type="spellStart"/>
      <w:r w:rsidR="004E5AF5" w:rsidRPr="00DA0BE1">
        <w:t>FSB:n</w:t>
      </w:r>
      <w:proofErr w:type="spellEnd"/>
      <w:r w:rsidR="004E5AF5" w:rsidRPr="00DA0BE1">
        <w:t xml:space="preserve"> raportoidaan panevan usein alulle rikosjuttuja miehitystä tai Krimin tataarien sortoa vastustavia henkilöitä kohtaan</w:t>
      </w:r>
      <w:r w:rsidR="004E5AF5">
        <w:t>.</w:t>
      </w:r>
      <w:r w:rsidR="001F0B72">
        <w:rPr>
          <w:rStyle w:val="FootnoteReference"/>
        </w:rPr>
        <w:footnoteReference w:id="30"/>
      </w:r>
      <w:r w:rsidR="001F0B72">
        <w:t xml:space="preserve"> </w:t>
      </w:r>
      <w:r w:rsidR="00CD7F32" w:rsidRPr="00CD7F32">
        <w:t xml:space="preserve">YK:n </w:t>
      </w:r>
      <w:r w:rsidR="00CD7F32">
        <w:t>i</w:t>
      </w:r>
      <w:r w:rsidR="00CD755B">
        <w:t>hmisoikeus</w:t>
      </w:r>
      <w:r w:rsidR="000C0986">
        <w:t>valtuutetun toimisto</w:t>
      </w:r>
      <w:r w:rsidR="00CD755B">
        <w:t xml:space="preserve"> </w:t>
      </w:r>
      <w:r w:rsidR="00DA0E18">
        <w:t xml:space="preserve">UN </w:t>
      </w:r>
      <w:proofErr w:type="spellStart"/>
      <w:r w:rsidR="00CD755B">
        <w:t>OHC</w:t>
      </w:r>
      <w:r w:rsidR="000C0986">
        <w:t>H</w:t>
      </w:r>
      <w:r w:rsidR="00CD755B">
        <w:t>R:n</w:t>
      </w:r>
      <w:proofErr w:type="spellEnd"/>
      <w:r w:rsidR="00CD755B">
        <w:t xml:space="preserve"> </w:t>
      </w:r>
      <w:r w:rsidR="000C0986">
        <w:t>(</w:t>
      </w:r>
      <w:r w:rsidR="00DA0E18">
        <w:t xml:space="preserve">United </w:t>
      </w:r>
      <w:proofErr w:type="spellStart"/>
      <w:r w:rsidR="00DA0E18">
        <w:t>Nations</w:t>
      </w:r>
      <w:proofErr w:type="spellEnd"/>
      <w:r w:rsidR="00DA0E18">
        <w:t xml:space="preserve"> </w:t>
      </w:r>
      <w:r w:rsidR="000C0986" w:rsidRPr="000C0986">
        <w:t xml:space="preserve">Office of </w:t>
      </w:r>
      <w:proofErr w:type="spellStart"/>
      <w:r w:rsidR="000C0986" w:rsidRPr="000C0986">
        <w:t>the</w:t>
      </w:r>
      <w:proofErr w:type="spellEnd"/>
      <w:r w:rsidR="000C0986" w:rsidRPr="000C0986">
        <w:t xml:space="preserve"> United </w:t>
      </w:r>
      <w:proofErr w:type="spellStart"/>
      <w:r w:rsidR="000C0986" w:rsidRPr="000C0986">
        <w:t>Nations</w:t>
      </w:r>
      <w:proofErr w:type="spellEnd"/>
      <w:r w:rsidR="000C0986" w:rsidRPr="000C0986">
        <w:t xml:space="preserve"> </w:t>
      </w:r>
      <w:proofErr w:type="spellStart"/>
      <w:r w:rsidR="000C0986" w:rsidRPr="000C0986">
        <w:t>High</w:t>
      </w:r>
      <w:proofErr w:type="spellEnd"/>
      <w:r w:rsidR="000C0986" w:rsidRPr="000C0986">
        <w:t xml:space="preserve"> </w:t>
      </w:r>
      <w:proofErr w:type="spellStart"/>
      <w:r w:rsidR="000C0986" w:rsidRPr="000C0986">
        <w:t>Commissioner</w:t>
      </w:r>
      <w:proofErr w:type="spellEnd"/>
      <w:r w:rsidR="000C0986" w:rsidRPr="000C0986">
        <w:t xml:space="preserve"> for Human Rights) </w:t>
      </w:r>
      <w:r w:rsidR="00CD755B">
        <w:t>i</w:t>
      </w:r>
      <w:r w:rsidR="00CD7F32">
        <w:t>hmisoikeuksi</w:t>
      </w:r>
      <w:r w:rsidR="007D65BB">
        <w:t xml:space="preserve">a Ukrainassa helmikuun 2022 ja helmikuun 2025 välisenä aikana käsittelevän raportin mukaan </w:t>
      </w:r>
      <w:r w:rsidR="00CD7F32" w:rsidRPr="00CD7F32">
        <w:t xml:space="preserve">Krimillä on </w:t>
      </w:r>
      <w:r w:rsidR="004B4474">
        <w:t xml:space="preserve">tuomittu </w:t>
      </w:r>
      <w:r w:rsidR="00CD7F32" w:rsidRPr="00CD7F32">
        <w:t xml:space="preserve">ainakin 1 057 ihmistä Venäjän </w:t>
      </w:r>
      <w:r w:rsidR="00CD7F32">
        <w:t>asevoimien</w:t>
      </w:r>
      <w:r w:rsidR="00CD7F32" w:rsidRPr="00CD7F32">
        <w:t xml:space="preserve"> hal</w:t>
      </w:r>
      <w:r w:rsidR="00CD7F32">
        <w:t xml:space="preserve">ventamisesta ja natsisymbolien esittämisestä tai epäkunnioituksen osoittamisesta Venäjän valtiota kohtaan. </w:t>
      </w:r>
      <w:r w:rsidR="007D65BB">
        <w:t>Monissa tapauksissa tuomiot ovat seuranneet laillisesta mielipiteenilmaisusta tai ukrainalai</w:t>
      </w:r>
      <w:r w:rsidR="00BD10EF">
        <w:t>sta identiteettiä ilmaisevien</w:t>
      </w:r>
      <w:r w:rsidR="007D65BB">
        <w:t xml:space="preserve"> symbolien esittämisestä</w:t>
      </w:r>
      <w:r w:rsidR="00B062D0">
        <w:t>.</w:t>
      </w:r>
      <w:r w:rsidR="007D65BB">
        <w:rPr>
          <w:rStyle w:val="FootnoteReference"/>
        </w:rPr>
        <w:footnoteReference w:id="31"/>
      </w:r>
      <w:r w:rsidR="007D65BB">
        <w:t xml:space="preserve">  </w:t>
      </w:r>
      <w:proofErr w:type="spellStart"/>
      <w:r w:rsidR="00ED5C47" w:rsidRPr="00ED5C47">
        <w:t>Freedom</w:t>
      </w:r>
      <w:proofErr w:type="spellEnd"/>
      <w:r w:rsidR="00ED5C47" w:rsidRPr="00ED5C47">
        <w:t xml:space="preserve"> Housen </w:t>
      </w:r>
      <w:r w:rsidR="00ED5C47">
        <w:t xml:space="preserve">vuoden </w:t>
      </w:r>
      <w:r w:rsidR="00ED5C47">
        <w:lastRenderedPageBreak/>
        <w:t xml:space="preserve">2023 tapahtumia itäisen </w:t>
      </w:r>
      <w:proofErr w:type="spellStart"/>
      <w:r w:rsidR="00ED5C47">
        <w:t>Donbasin</w:t>
      </w:r>
      <w:proofErr w:type="spellEnd"/>
      <w:r w:rsidR="00ED5C47">
        <w:t xml:space="preserve"> alueella käsittelevän raportin mukaan vuoden 2014 jälkeen miehitetyn </w:t>
      </w:r>
      <w:proofErr w:type="spellStart"/>
      <w:r w:rsidR="00ED5C47">
        <w:t>Donbasin</w:t>
      </w:r>
      <w:proofErr w:type="spellEnd"/>
      <w:r w:rsidR="00ED5C47">
        <w:t xml:space="preserve"> alueella ei ole toiminut vapaata ja riippumatonta mediaa. </w:t>
      </w:r>
      <w:r w:rsidR="00ED5C47" w:rsidRPr="00ED5C47">
        <w:t xml:space="preserve">Sekä </w:t>
      </w:r>
      <w:r w:rsidR="00ED5C47">
        <w:t>Ukraina-</w:t>
      </w:r>
      <w:r w:rsidR="00ED5C47" w:rsidRPr="00ED5C47">
        <w:t xml:space="preserve">mieliset että </w:t>
      </w:r>
      <w:r w:rsidR="00ED5C47">
        <w:t xml:space="preserve">Venäjä-mieliset </w:t>
      </w:r>
      <w:r w:rsidR="00ED5C47" w:rsidRPr="00ED5C47">
        <w:t xml:space="preserve">bloggaajat ja toimittajat, jotka ovat </w:t>
      </w:r>
      <w:r w:rsidR="00ED5C47">
        <w:t>kritisoineet</w:t>
      </w:r>
      <w:r w:rsidR="00ED5C47" w:rsidRPr="00ED5C47">
        <w:t xml:space="preserve"> paikallisia viranomaisia, on hiljennetty pitkillä vankeustuomioilla.</w:t>
      </w:r>
      <w:r w:rsidR="004E5AF5" w:rsidRPr="004E5AF5">
        <w:rPr>
          <w:color w:val="FF0000"/>
        </w:rPr>
        <w:t xml:space="preserve"> </w:t>
      </w:r>
      <w:r w:rsidR="004E5AF5" w:rsidRPr="00DA0BE1">
        <w:t>Mikä vain Venäjän miehitysviranomaisiin kohdistuva julkinen kritiikki aiheuttaa raportin mukaan riskin rangaistuksesta</w:t>
      </w:r>
      <w:r w:rsidR="004E5AF5" w:rsidRPr="00DA0BE1">
        <w:rPr>
          <w:rStyle w:val="FootnoteReference"/>
        </w:rPr>
        <w:t xml:space="preserve"> </w:t>
      </w:r>
      <w:r w:rsidR="00ED5C47">
        <w:rPr>
          <w:rStyle w:val="FootnoteReference"/>
        </w:rPr>
        <w:footnoteReference w:id="32"/>
      </w:r>
    </w:p>
    <w:p w14:paraId="7F58F8B3" w14:textId="40641FEA" w:rsidR="00543F66" w:rsidRDefault="00105370" w:rsidP="009B274B">
      <w:pPr>
        <w:pStyle w:val="Heading1"/>
      </w:pPr>
      <w:r w:rsidRPr="00105370">
        <w:t xml:space="preserve">Onko henkilöitä syytetty, tuomittu tai muuten rangaistu julkisuudessa esittämiensä </w:t>
      </w:r>
      <w:bookmarkStart w:id="1" w:name="_Hlk193383267"/>
      <w:r w:rsidRPr="00105370">
        <w:t>Venäjä-mielisten tai Ukrainan hallintoa kritisoivien mielipiteiden johdosta?</w:t>
      </w:r>
    </w:p>
    <w:bookmarkEnd w:id="1"/>
    <w:p w14:paraId="42F8148E" w14:textId="6FC61462" w:rsidR="00D00216" w:rsidRPr="00BA4610" w:rsidRDefault="00D00216" w:rsidP="00FB45D4">
      <w:proofErr w:type="spellStart"/>
      <w:r w:rsidRPr="00BA4610">
        <w:t>The</w:t>
      </w:r>
      <w:proofErr w:type="spellEnd"/>
      <w:r w:rsidRPr="00BA4610">
        <w:t xml:space="preserve"> Center for European </w:t>
      </w:r>
      <w:proofErr w:type="spellStart"/>
      <w:r w:rsidRPr="00BA4610">
        <w:t>Policy</w:t>
      </w:r>
      <w:proofErr w:type="spellEnd"/>
      <w:r w:rsidRPr="00BA4610">
        <w:t xml:space="preserve"> Analysis -sivustolla syyskuussa 2024 julkaistun artikkelin mukaan use</w:t>
      </w:r>
      <w:r w:rsidR="00694C7F" w:rsidRPr="00BA4610">
        <w:t>ita</w:t>
      </w:r>
      <w:r w:rsidRPr="00BA4610">
        <w:t xml:space="preserve"> Venäjä-myönteisiä poliitikkoja on lähtenyt pois Ukrainasta ja muutamia Venäjä-mielisiä poliitikkoja on joutunut vankilaan vakoilusta syytettynä.</w:t>
      </w:r>
      <w:r w:rsidRPr="00BA4610">
        <w:rPr>
          <w:rStyle w:val="FootnoteReference"/>
        </w:rPr>
        <w:footnoteReference w:id="33"/>
      </w:r>
      <w:r w:rsidRPr="00BA4610">
        <w:t xml:space="preserve"> </w:t>
      </w:r>
      <w:r w:rsidR="004F67AA" w:rsidRPr="00BA4610">
        <w:t>Julkisista lähteistä löytyy mainintoja korkean profiilin tapauksista, jossa Ukrainassa kiellettyjen Venäjä-mielisten puolueiden poliitikkoja on syytetty muun muassa maanpetoksesta.</w:t>
      </w:r>
      <w:r w:rsidR="004F67AA" w:rsidRPr="00BA4610">
        <w:rPr>
          <w:rStyle w:val="FootnoteReference"/>
        </w:rPr>
        <w:footnoteReference w:id="34"/>
      </w:r>
    </w:p>
    <w:p w14:paraId="0E08FF62" w14:textId="5E237598" w:rsidR="004231B5" w:rsidRDefault="00963EC3" w:rsidP="00FB45D4">
      <w:r>
        <w:t>Tanskan maahanmuuttoviraston</w:t>
      </w:r>
      <w:r w:rsidR="00BA4610">
        <w:t xml:space="preserve"> </w:t>
      </w:r>
      <w:r w:rsidR="006B2337">
        <w:t>maaliskuussa 2024 julkaistun Ukrainan tiedonha</w:t>
      </w:r>
      <w:r>
        <w:t>nkinta</w:t>
      </w:r>
      <w:r w:rsidR="006B2337">
        <w:t>matkaraporti</w:t>
      </w:r>
      <w:r>
        <w:t xml:space="preserve">n mukaan lähteet totesivat yhtenäisesti, että </w:t>
      </w:r>
      <w:r w:rsidR="008E6ACF">
        <w:t>ukrainalaiset, jotka esittävät selkeää sympatiaa Venäjän federaatiota</w:t>
      </w:r>
      <w:r w:rsidR="00B364D7">
        <w:t>,</w:t>
      </w:r>
      <w:r w:rsidR="008E6ACF">
        <w:t xml:space="preserve"> ja sen </w:t>
      </w:r>
      <w:r>
        <w:t xml:space="preserve">toimia </w:t>
      </w:r>
      <w:r w:rsidR="008E6ACF">
        <w:t>Ukrainassa kohtaan,</w:t>
      </w:r>
      <w:r>
        <w:t xml:space="preserve"> tai</w:t>
      </w:r>
      <w:r w:rsidR="008E6ACF">
        <w:t xml:space="preserve"> esittävät Venäjä-m</w:t>
      </w:r>
      <w:r>
        <w:t xml:space="preserve">yönteistä </w:t>
      </w:r>
      <w:r w:rsidR="008E6ACF">
        <w:t>retoriikkaa, kohtaavat vakavia seuraamuksia Ukrainan viranomai</w:t>
      </w:r>
      <w:r>
        <w:t>silta</w:t>
      </w:r>
      <w:r w:rsidR="008E6ACF">
        <w:t xml:space="preserve">. </w:t>
      </w:r>
      <w:r w:rsidR="008E6ACF" w:rsidRPr="008E6ACF">
        <w:t>Hyökkääjävaltion tukeminen on kriminalisoitu</w:t>
      </w:r>
      <w:r w:rsidR="00412DA0">
        <w:t xml:space="preserve"> ja v</w:t>
      </w:r>
      <w:r w:rsidR="008E6ACF" w:rsidRPr="008E6ACF">
        <w:t xml:space="preserve">iranomaiset </w:t>
      </w:r>
      <w:r w:rsidR="008E6ACF">
        <w:t xml:space="preserve">asettavat aktiivisesti rikoslain nojalla syytteeseen ihmisiä </w:t>
      </w:r>
      <w:r w:rsidR="008E6ACF" w:rsidRPr="008E6ACF">
        <w:t>Venäjä-m</w:t>
      </w:r>
      <w:r>
        <w:t>yönteisestä</w:t>
      </w:r>
      <w:r w:rsidR="008E6ACF">
        <w:t xml:space="preserve"> toiminnasta ja </w:t>
      </w:r>
      <w:r>
        <w:t>Ukrainan kansalaisia</w:t>
      </w:r>
      <w:r w:rsidR="008E6ACF">
        <w:t xml:space="preserve"> on pidätetty syytettynä yhteistoiminnasta Venäjän kanssa.</w:t>
      </w:r>
      <w:r w:rsidR="00BE6D94">
        <w:t xml:space="preserve"> Kiovassa toimivan kansainvälinen organisaation mukaan </w:t>
      </w:r>
      <w:r w:rsidR="00BE6D94" w:rsidRPr="00BE6D94">
        <w:t>kansalliseen turvallisuuteen ja yhteistyöhön Venäjän federaa</w:t>
      </w:r>
      <w:r w:rsidR="00412DA0">
        <w:t>tio</w:t>
      </w:r>
      <w:r w:rsidR="00BE6D94">
        <w:t>n</w:t>
      </w:r>
      <w:r w:rsidR="00BE6D94" w:rsidRPr="00BE6D94">
        <w:t xml:space="preserve"> kanssa</w:t>
      </w:r>
      <w:r w:rsidR="00364DB5">
        <w:t xml:space="preserve"> </w:t>
      </w:r>
      <w:r w:rsidR="00BE6D94">
        <w:t>liittyvien rikoslain säännösten perusteella</w:t>
      </w:r>
      <w:r w:rsidR="00BE6D94" w:rsidRPr="00BE6D94">
        <w:t xml:space="preserve"> määrätään </w:t>
      </w:r>
      <w:r w:rsidR="00BE6D94">
        <w:t>”</w:t>
      </w:r>
      <w:r w:rsidR="00364DB5">
        <w:t>suhteettomia</w:t>
      </w:r>
      <w:r w:rsidR="00BE6D94">
        <w:t>”</w:t>
      </w:r>
      <w:r w:rsidR="00BE6D94" w:rsidRPr="00BE6D94">
        <w:t xml:space="preserve"> rangaistuksia</w:t>
      </w:r>
      <w:r w:rsidR="00BE6D94">
        <w:t>.</w:t>
      </w:r>
      <w:r w:rsidR="006B2337">
        <w:rPr>
          <w:rStyle w:val="FootnoteReference"/>
        </w:rPr>
        <w:footnoteReference w:id="35"/>
      </w:r>
      <w:r w:rsidR="004231B5">
        <w:t xml:space="preserve"> </w:t>
      </w:r>
      <w:r w:rsidR="000348C3">
        <w:t xml:space="preserve">Ukrainalaisen </w:t>
      </w:r>
      <w:proofErr w:type="spellStart"/>
      <w:r w:rsidR="000348C3" w:rsidRPr="000348C3">
        <w:t>Kharkiv</w:t>
      </w:r>
      <w:proofErr w:type="spellEnd"/>
      <w:r w:rsidR="000348C3" w:rsidRPr="000348C3">
        <w:t xml:space="preserve"> Human Rights </w:t>
      </w:r>
      <w:proofErr w:type="spellStart"/>
      <w:r w:rsidR="000348C3" w:rsidRPr="000348C3">
        <w:t>Protection</w:t>
      </w:r>
      <w:proofErr w:type="spellEnd"/>
      <w:r w:rsidR="000348C3" w:rsidRPr="000348C3">
        <w:t xml:space="preserve"> Group</w:t>
      </w:r>
      <w:r w:rsidR="000348C3">
        <w:t xml:space="preserve"> (</w:t>
      </w:r>
      <w:r w:rsidR="00AC7DAB">
        <w:t>KHPG</w:t>
      </w:r>
      <w:r w:rsidR="000348C3">
        <w:t xml:space="preserve">) </w:t>
      </w:r>
      <w:r w:rsidR="00AC7DAB">
        <w:t xml:space="preserve">-ihmisoikeusjärjestön </w:t>
      </w:r>
      <w:r w:rsidR="00AC7DAB" w:rsidRPr="002D6380">
        <w:t>mukaan vankeus sosiaalisen median julkaisun tykkäämisestä tai jakamisesta, tai vain kadulla tai puhelimessa keskustelemisesta, on ”jo melko yleistä” Ukrainassa.</w:t>
      </w:r>
      <w:r w:rsidR="00AC7DAB">
        <w:rPr>
          <w:rStyle w:val="FootnoteReference"/>
        </w:rPr>
        <w:footnoteReference w:id="36"/>
      </w:r>
      <w:r w:rsidR="00AC7DAB" w:rsidRPr="002D6380">
        <w:t xml:space="preserve"> </w:t>
      </w:r>
    </w:p>
    <w:p w14:paraId="6E556CEB" w14:textId="5CBE82DA" w:rsidR="001B41B3" w:rsidRDefault="006629A6" w:rsidP="00FB45D4">
      <w:r>
        <w:t xml:space="preserve">Tanskan maahanmuuttoviraston </w:t>
      </w:r>
      <w:r w:rsidR="001B41B3" w:rsidRPr="001B41B3">
        <w:t xml:space="preserve">raportissa mainitaan, että </w:t>
      </w:r>
      <w:r w:rsidR="001B41B3">
        <w:t>erään u</w:t>
      </w:r>
      <w:r w:rsidR="001B41B3" w:rsidRPr="001B41B3">
        <w:t>krainalaisen kansalaisjärjestön mukaan h</w:t>
      </w:r>
      <w:r w:rsidR="001B41B3">
        <w:t>enkilön pitää aktiivisesti osoittaa sympatiaa Venäjää kohtaan,</w:t>
      </w:r>
      <w:r w:rsidR="00B15882">
        <w:t xml:space="preserve"> jotta</w:t>
      </w:r>
      <w:r w:rsidR="001B41B3">
        <w:t xml:space="preserve"> hän joutuisi syytteeseen. </w:t>
      </w:r>
      <w:r w:rsidR="001B41B3" w:rsidRPr="001B41B3">
        <w:t>Järjestö ei uskonut, että</w:t>
      </w:r>
      <w:r w:rsidR="001B41B3">
        <w:t xml:space="preserve"> henkilön</w:t>
      </w:r>
      <w:r w:rsidR="001B41B3" w:rsidRPr="001B41B3">
        <w:t xml:space="preserve"> oletettu Venäjä-m</w:t>
      </w:r>
      <w:r w:rsidR="00B15882">
        <w:t>yönteisyys</w:t>
      </w:r>
      <w:r w:rsidR="001B41B3" w:rsidRPr="001B41B3">
        <w:t xml:space="preserve"> yksin aiheuttaisi s</w:t>
      </w:r>
      <w:r w:rsidR="001B41B3">
        <w:t xml:space="preserve">euraamuksia. </w:t>
      </w:r>
      <w:r w:rsidR="001B41B3" w:rsidRPr="001B41B3">
        <w:t xml:space="preserve">Toinen kansainvälinen humanitaarinen järjestö oli </w:t>
      </w:r>
      <w:r w:rsidR="0063535C">
        <w:t xml:space="preserve">puolestaan </w:t>
      </w:r>
      <w:r w:rsidR="001B41B3" w:rsidRPr="001B41B3">
        <w:t>sitä mieltä, että mi</w:t>
      </w:r>
      <w:r w:rsidR="00B15882">
        <w:t>t</w:t>
      </w:r>
      <w:r w:rsidR="001B41B3" w:rsidRPr="001B41B3">
        <w:t>ä vai</w:t>
      </w:r>
      <w:r w:rsidR="001B41B3">
        <w:t>n Venäjä-m</w:t>
      </w:r>
      <w:r w:rsidR="00B15882">
        <w:t>yönteistä</w:t>
      </w:r>
      <w:r w:rsidR="001B41B3">
        <w:t xml:space="preserve"> retoriikkaa kritisoidaan voimakkaasti</w:t>
      </w:r>
      <w:r w:rsidR="00B364D7">
        <w:t>,</w:t>
      </w:r>
      <w:r w:rsidR="001B41B3">
        <w:t xml:space="preserve"> ja se voi johtaa viranomaismielenkiintoon. </w:t>
      </w:r>
      <w:r w:rsidR="0063535C">
        <w:t>Yksi k</w:t>
      </w:r>
      <w:r w:rsidR="001B41B3" w:rsidRPr="001B41B3">
        <w:t xml:space="preserve">ansainvälinen organisaatio puolestaan korosti, että </w:t>
      </w:r>
      <w:r w:rsidR="00405246">
        <w:t>U</w:t>
      </w:r>
      <w:r w:rsidR="001B41B3" w:rsidRPr="001B41B3">
        <w:t>krainan kansalaiset eivät j</w:t>
      </w:r>
      <w:r w:rsidR="001B41B3">
        <w:t>oudu syytteeseen sen vuoksi, että heillä on sukulaisia tai ystäviä Venäjällä.</w:t>
      </w:r>
      <w:r w:rsidR="001B41B3">
        <w:rPr>
          <w:rStyle w:val="FootnoteReference"/>
        </w:rPr>
        <w:footnoteReference w:id="37"/>
      </w:r>
    </w:p>
    <w:p w14:paraId="39AD9814" w14:textId="1882DDF0" w:rsidR="0012273F" w:rsidRDefault="003016CB" w:rsidP="0081651A">
      <w:r w:rsidRPr="003016CB">
        <w:t>Ukrainan rikoslakiin lisätiin maaliskuussa 2022 u</w:t>
      </w:r>
      <w:r>
        <w:t>usi 436-2</w:t>
      </w:r>
      <w:r w:rsidR="00F52459">
        <w:t xml:space="preserve"> </w:t>
      </w:r>
      <w:r w:rsidR="00F52459" w:rsidRPr="00B765DE">
        <w:rPr>
          <w:bCs/>
        </w:rPr>
        <w:t>§</w:t>
      </w:r>
      <w:r>
        <w:t xml:space="preserve">, </w:t>
      </w:r>
      <w:r w:rsidRPr="002D6380">
        <w:t>Venäjän federaation Ukrainaan kohdistaman aseellisen hyökkäyksen oikeuttami</w:t>
      </w:r>
      <w:r>
        <w:t>n</w:t>
      </w:r>
      <w:r w:rsidRPr="002D6380">
        <w:t>en, lailliseksi tunnustami</w:t>
      </w:r>
      <w:r>
        <w:t>n</w:t>
      </w:r>
      <w:r w:rsidRPr="002D6380">
        <w:t>en ja kieltämi</w:t>
      </w:r>
      <w:r w:rsidR="007106D3">
        <w:t>n</w:t>
      </w:r>
      <w:r w:rsidRPr="002D6380">
        <w:t xml:space="preserve">en </w:t>
      </w:r>
      <w:r w:rsidRPr="002D6380">
        <w:lastRenderedPageBreak/>
        <w:t>sekä sen osallistujien ylistämi</w:t>
      </w:r>
      <w:r>
        <w:t>n</w:t>
      </w:r>
      <w:r w:rsidRPr="002D6380">
        <w:t>en.</w:t>
      </w:r>
      <w:r w:rsidR="0012273F">
        <w:rPr>
          <w:rStyle w:val="FootnoteReference"/>
        </w:rPr>
        <w:footnoteReference w:id="38"/>
      </w:r>
      <w:r w:rsidR="0012273F" w:rsidRPr="002D6380">
        <w:t xml:space="preserve"> </w:t>
      </w:r>
      <w:r w:rsidR="0012273F">
        <w:t xml:space="preserve"> Tähän sisältyy myös sodan nimittäminen ”sisäiseksi </w:t>
      </w:r>
      <w:r w:rsidR="00840157">
        <w:t>kansalais</w:t>
      </w:r>
      <w:r w:rsidR="0012273F">
        <w:t>konfliktiksi”.</w:t>
      </w:r>
      <w:r w:rsidR="0012273F">
        <w:rPr>
          <w:rStyle w:val="FootnoteReference"/>
        </w:rPr>
        <w:footnoteReference w:id="39"/>
      </w:r>
      <w:r w:rsidR="00C00845">
        <w:t xml:space="preserve"> </w:t>
      </w:r>
      <w:r w:rsidR="00882055">
        <w:t xml:space="preserve">Lain perusteella tuomittava vankeusrangaistus on enintään </w:t>
      </w:r>
      <w:r w:rsidR="00882055" w:rsidRPr="00C00845">
        <w:t>kahdeksan vuotta</w:t>
      </w:r>
      <w:r w:rsidR="00882055">
        <w:t>.</w:t>
      </w:r>
      <w:r>
        <w:rPr>
          <w:rStyle w:val="FootnoteReference"/>
        </w:rPr>
        <w:footnoteReference w:id="40"/>
      </w:r>
      <w:r w:rsidRPr="002D6380">
        <w:t xml:space="preserve"> </w:t>
      </w:r>
      <w:r w:rsidR="00E71610">
        <w:t>Kahdeksan vuoden vankeu</w:t>
      </w:r>
      <w:r w:rsidR="001338DF">
        <w:t>s</w:t>
      </w:r>
      <w:r w:rsidR="00E71610">
        <w:t xml:space="preserve">rangaistus voidaan määrätä, jos </w:t>
      </w:r>
      <w:r w:rsidR="001338DF">
        <w:t>rikos on tehty</w:t>
      </w:r>
      <w:r w:rsidR="005E11EA">
        <w:t xml:space="preserve"> muun muassa</w:t>
      </w:r>
      <w:r w:rsidR="001338DF">
        <w:t xml:space="preserve"> joukko</w:t>
      </w:r>
      <w:r w:rsidR="005E11EA">
        <w:t>tiedotus</w:t>
      </w:r>
      <w:r w:rsidR="001338DF">
        <w:t>välineissä tai sen on tehnyt virkamies.</w:t>
      </w:r>
      <w:r w:rsidR="001338DF">
        <w:rPr>
          <w:rStyle w:val="FootnoteReference"/>
        </w:rPr>
        <w:footnoteReference w:id="41"/>
      </w:r>
    </w:p>
    <w:p w14:paraId="3B622A04" w14:textId="5D01F8FB" w:rsidR="005C755A" w:rsidRDefault="002C23B0" w:rsidP="0081651A">
      <w:r>
        <w:t xml:space="preserve">Julkisissa lähteissä </w:t>
      </w:r>
      <w:r w:rsidR="00183B77">
        <w:t xml:space="preserve">on </w:t>
      </w:r>
      <w:r>
        <w:t xml:space="preserve">löydettävissä </w:t>
      </w:r>
      <w:r w:rsidR="00183B77">
        <w:t>toisistaan poikkeavia tietoja</w:t>
      </w:r>
      <w:r>
        <w:t xml:space="preserve"> 436-2 </w:t>
      </w:r>
      <w:r w:rsidR="00405246" w:rsidRPr="00B765DE">
        <w:rPr>
          <w:bCs/>
        </w:rPr>
        <w:t>§</w:t>
      </w:r>
      <w:r w:rsidR="00405246">
        <w:rPr>
          <w:bCs/>
        </w:rPr>
        <w:t xml:space="preserve">:n </w:t>
      </w:r>
      <w:r>
        <w:t>perusteella annettujen tuomioiden määristä</w:t>
      </w:r>
      <w:r w:rsidR="00777E94">
        <w:t>, ja a</w:t>
      </w:r>
      <w:r w:rsidR="00183B77">
        <w:t xml:space="preserve">jankohdat, joilta tuomiot on laskettu, eivät ole täysin </w:t>
      </w:r>
      <w:r w:rsidR="00634B49">
        <w:t>yhteneväisiä.</w:t>
      </w:r>
      <w:r w:rsidR="00183B77">
        <w:t xml:space="preserve"> </w:t>
      </w:r>
      <w:r w:rsidR="002D6380">
        <w:t xml:space="preserve">Amnesty </w:t>
      </w:r>
      <w:r w:rsidR="00AC7DAB">
        <w:t>Internationa</w:t>
      </w:r>
      <w:r w:rsidR="00B364D7">
        <w:t xml:space="preserve">l </w:t>
      </w:r>
      <w:r w:rsidR="002D6380">
        <w:t>raportoi</w:t>
      </w:r>
      <w:r w:rsidR="00B364D7">
        <w:t xml:space="preserve">, </w:t>
      </w:r>
      <w:r w:rsidR="002D6380">
        <w:t xml:space="preserve">että </w:t>
      </w:r>
      <w:proofErr w:type="spellStart"/>
      <w:r w:rsidR="002D6380" w:rsidRPr="002D6380">
        <w:t>OHCHR:n</w:t>
      </w:r>
      <w:proofErr w:type="spellEnd"/>
      <w:r w:rsidR="002D6380" w:rsidRPr="002D6380">
        <w:t xml:space="preserve"> </w:t>
      </w:r>
      <w:r w:rsidR="002D6380">
        <w:t xml:space="preserve">mukaan </w:t>
      </w:r>
      <w:r w:rsidR="00DF2D64">
        <w:t xml:space="preserve">vuoden 2023 </w:t>
      </w:r>
      <w:r w:rsidR="002D6380">
        <w:t xml:space="preserve">heinäkuuhun mennessä </w:t>
      </w:r>
      <w:r w:rsidR="002D6380" w:rsidRPr="002D6380">
        <w:t xml:space="preserve">oli aloitettu rikosoikeudellinen menettely yli 2 000 tapauksessa Ukrainan rikoslain 436-2 </w:t>
      </w:r>
      <w:r w:rsidR="00405246" w:rsidRPr="00B765DE">
        <w:rPr>
          <w:bCs/>
        </w:rPr>
        <w:t>§</w:t>
      </w:r>
      <w:r w:rsidR="00405246">
        <w:rPr>
          <w:bCs/>
        </w:rPr>
        <w:t>:n</w:t>
      </w:r>
      <w:r w:rsidR="002D6380" w:rsidRPr="002D6380">
        <w:t xml:space="preserve"> nojalla</w:t>
      </w:r>
      <w:r w:rsidR="003016CB">
        <w:t xml:space="preserve">. </w:t>
      </w:r>
      <w:r w:rsidR="002D6380" w:rsidRPr="002D6380">
        <w:t>Tämä oli Ukrainan tiedotusvälineiden mukaan johtanut maaliskuun 2022 ja marraskuun 2023 välisenä aikana 443 tuomioon</w:t>
      </w:r>
      <w:r w:rsidR="00000444">
        <w:t>.</w:t>
      </w:r>
      <w:r w:rsidR="00183B77">
        <w:rPr>
          <w:rStyle w:val="FootnoteReference"/>
        </w:rPr>
        <w:footnoteReference w:id="42"/>
      </w:r>
      <w:r w:rsidRPr="002C23B0">
        <w:rPr>
          <w:rStyle w:val="FootnoteReference"/>
        </w:rPr>
        <w:t xml:space="preserve"> </w:t>
      </w:r>
      <w:r w:rsidR="00DF2D64">
        <w:t xml:space="preserve"> </w:t>
      </w:r>
      <w:r w:rsidR="00F9020B">
        <w:t>KHPG</w:t>
      </w:r>
      <w:r w:rsidR="00AC7DAB">
        <w:t xml:space="preserve">-ihmisoikeusjärjestön mukaan </w:t>
      </w:r>
      <w:r w:rsidR="00FF7114">
        <w:t>vuoden</w:t>
      </w:r>
      <w:r w:rsidR="003C6016">
        <w:t xml:space="preserve"> 2022</w:t>
      </w:r>
      <w:r w:rsidR="00FF7114">
        <w:t xml:space="preserve"> huhtikuun ja vuoden </w:t>
      </w:r>
      <w:r w:rsidR="003C6016">
        <w:t xml:space="preserve">2023 </w:t>
      </w:r>
      <w:r w:rsidR="00FF7114">
        <w:t xml:space="preserve">syyskuun välisenä aikana </w:t>
      </w:r>
      <w:r w:rsidR="005061FE">
        <w:t xml:space="preserve">436-2 </w:t>
      </w:r>
      <w:r w:rsidR="00405246" w:rsidRPr="00B765DE">
        <w:rPr>
          <w:bCs/>
        </w:rPr>
        <w:t>§</w:t>
      </w:r>
      <w:r w:rsidR="00405246">
        <w:rPr>
          <w:bCs/>
        </w:rPr>
        <w:t>:n</w:t>
      </w:r>
      <w:r w:rsidR="00405246" w:rsidRPr="002D6380">
        <w:t xml:space="preserve"> </w:t>
      </w:r>
      <w:r w:rsidR="005061FE">
        <w:t xml:space="preserve">nojalla </w:t>
      </w:r>
      <w:r w:rsidR="00FF7114">
        <w:t xml:space="preserve">rekisteröitiin </w:t>
      </w:r>
      <w:r w:rsidR="003C6016">
        <w:t>yhteensä 2</w:t>
      </w:r>
      <w:r w:rsidR="002414A9">
        <w:t xml:space="preserve"> </w:t>
      </w:r>
      <w:r w:rsidR="003C6016">
        <w:t>543</w:t>
      </w:r>
      <w:r w:rsidR="00FF7114">
        <w:t xml:space="preserve"> rikosta </w:t>
      </w:r>
      <w:r w:rsidR="003C6016">
        <w:t>ja tuomioita annettiin 715.</w:t>
      </w:r>
      <w:r w:rsidR="00AC7DAB">
        <w:rPr>
          <w:rStyle w:val="FootnoteReference"/>
        </w:rPr>
        <w:footnoteReference w:id="43"/>
      </w:r>
      <w:r w:rsidR="00AC7DAB" w:rsidRPr="002D6380">
        <w:t xml:space="preserve"> </w:t>
      </w:r>
      <w:r w:rsidR="005C755A">
        <w:t xml:space="preserve"> </w:t>
      </w:r>
      <w:r w:rsidR="005A7F30">
        <w:t>Tuoreempia tietoja ei ollut saatavilla.</w:t>
      </w:r>
    </w:p>
    <w:p w14:paraId="65046E3C" w14:textId="74B6E4B1" w:rsidR="00A00EE1" w:rsidRDefault="002414A9" w:rsidP="00EA37BF">
      <w:r>
        <w:t xml:space="preserve">Yhteensä 429 tuomiossa eli suurimmassa osassa KHPG-ihmisoikeusjärjestön kirjaamissa tuomioissa oli kyse julkaisuista, jotka henkilö oli jakanut omalla sivullaan sosiaalisen median </w:t>
      </w:r>
      <w:proofErr w:type="spellStart"/>
      <w:r>
        <w:t>Odnoklassniki</w:t>
      </w:r>
      <w:proofErr w:type="spellEnd"/>
      <w:r>
        <w:t xml:space="preserve">-palvelussa. Tuomioistuimet katsovat, että tykkäys sosiaalisessa mediassa on verrattavissa tiedon jakamiseen ystävien kesken, sillä tykätty postaus leviää henkilön profiiliin, josta hänen ystävänsä voivat nähdä sen. Ihmisoikeusjärjestö ei havainnut yhteyttä sosiaalisen median ystävien lukumäärän ja 436-2 §:n nojalla määrätyn rangaistuksen pituuden välillä. </w:t>
      </w:r>
      <w:r w:rsidR="007555C8">
        <w:t>Ihmisiä on syytetty myös muissa sosiaalisen median palveluissa tapahtuneen toiminnan perusteella</w:t>
      </w:r>
      <w:r w:rsidR="00CC2B58">
        <w:t xml:space="preserve">. </w:t>
      </w:r>
      <w:proofErr w:type="spellStart"/>
      <w:r w:rsidR="007555C8">
        <w:t>Telegramiin</w:t>
      </w:r>
      <w:proofErr w:type="spellEnd"/>
      <w:r w:rsidR="007555C8">
        <w:t xml:space="preserve"> liittyviä tuomioita löytyi 42, </w:t>
      </w:r>
      <w:proofErr w:type="spellStart"/>
      <w:r w:rsidR="007555C8">
        <w:t>VKontakteen</w:t>
      </w:r>
      <w:proofErr w:type="spellEnd"/>
      <w:r w:rsidR="007555C8">
        <w:t xml:space="preserve"> 36, Facebookiin 33, </w:t>
      </w:r>
      <w:proofErr w:type="spellStart"/>
      <w:r w:rsidR="007555C8">
        <w:t>Viberiin</w:t>
      </w:r>
      <w:proofErr w:type="spellEnd"/>
      <w:r w:rsidR="007555C8">
        <w:t xml:space="preserve"> 11, </w:t>
      </w:r>
      <w:proofErr w:type="spellStart"/>
      <w:r w:rsidR="007555C8">
        <w:t>Youtubeen</w:t>
      </w:r>
      <w:proofErr w:type="spellEnd"/>
      <w:r w:rsidR="007555C8">
        <w:t xml:space="preserve"> 6, WhatsAppiin 3 ja Instagramiin 3. Artikkelissa mainitaan, että ihmisiä on rangaistu myös läheisten kanssa käy</w:t>
      </w:r>
      <w:r w:rsidR="00634B49">
        <w:t>tyjen</w:t>
      </w:r>
      <w:r w:rsidR="007555C8">
        <w:t xml:space="preserve"> yksityi</w:t>
      </w:r>
      <w:r w:rsidR="00D94D2D">
        <w:t>sen viestinvaihdon</w:t>
      </w:r>
      <w:r w:rsidR="007555C8">
        <w:t xml:space="preserve"> perusteella.</w:t>
      </w:r>
      <w:r w:rsidR="00634B49">
        <w:t xml:space="preserve"> </w:t>
      </w:r>
      <w:r w:rsidR="001063EC" w:rsidRPr="007555C8">
        <w:t>Kaikista oikeuden päätöksistä 11 tuomiota annettiin puhelinkeskustelun perusteella</w:t>
      </w:r>
      <w:r w:rsidR="00977138">
        <w:t xml:space="preserve">, suurin osa tällaisista </w:t>
      </w:r>
      <w:r w:rsidR="00977138" w:rsidRPr="000A7A6F">
        <w:t xml:space="preserve">tuomioista annettiin </w:t>
      </w:r>
      <w:proofErr w:type="spellStart"/>
      <w:r w:rsidR="00977138" w:rsidRPr="000A7A6F">
        <w:t>Tšerkasyn</w:t>
      </w:r>
      <w:proofErr w:type="spellEnd"/>
      <w:r w:rsidR="00977138" w:rsidRPr="000A7A6F">
        <w:t xml:space="preserve"> alueella. </w:t>
      </w:r>
      <w:r w:rsidR="00977138">
        <w:t>Artikkelissa esitetään myös epäily siitä, että Ukrainan turvallisuuspalvelu kuuntelisi puhelimia ilman laillisia perusteita. U</w:t>
      </w:r>
      <w:r w:rsidR="001063EC">
        <w:t>seassa tapauksessa ihmiset asetettiin syytteeseen kadulla käydyn keskustelun perusteella.</w:t>
      </w:r>
      <w:r w:rsidR="00A00EE1">
        <w:rPr>
          <w:rStyle w:val="FootnoteReference"/>
        </w:rPr>
        <w:footnoteReference w:id="44"/>
      </w:r>
      <w:r w:rsidR="00A00EE1" w:rsidRPr="00CC2B58">
        <w:t xml:space="preserve"> </w:t>
      </w:r>
    </w:p>
    <w:p w14:paraId="226C8683" w14:textId="022A285F" w:rsidR="00A43121" w:rsidRDefault="0087374D" w:rsidP="0081651A">
      <w:r w:rsidRPr="0087374D">
        <w:t>Rangaistuksista 674 oli vankeusrangaistuksia</w:t>
      </w:r>
      <w:r w:rsidR="009142A2">
        <w:t>. L</w:t>
      </w:r>
      <w:r w:rsidRPr="0087374D">
        <w:t>y</w:t>
      </w:r>
      <w:r w:rsidR="00CC2B58">
        <w:t>h</w:t>
      </w:r>
      <w:r w:rsidRPr="0087374D">
        <w:t>ytaikaisia, enintään 6 kuuk</w:t>
      </w:r>
      <w:r w:rsidR="00CC2B58">
        <w:t>a</w:t>
      </w:r>
      <w:r w:rsidRPr="0087374D">
        <w:t xml:space="preserve">uden pidätyksiä oli 13, </w:t>
      </w:r>
      <w:r>
        <w:t xml:space="preserve">työperusteisia rangaistuksia oli 5. </w:t>
      </w:r>
      <w:r w:rsidRPr="0087374D">
        <w:t xml:space="preserve">Yleisin vankeusrangaistuksen kesto oli 5 vuotta, joka </w:t>
      </w:r>
      <w:r w:rsidR="00B6004F">
        <w:t>langetettiin</w:t>
      </w:r>
      <w:r w:rsidRPr="0087374D">
        <w:t xml:space="preserve"> 229 tapauksessa</w:t>
      </w:r>
      <w:r w:rsidR="00B6004F">
        <w:t>. Yhteensä</w:t>
      </w:r>
      <w:r w:rsidRPr="0087374D">
        <w:t xml:space="preserve"> 203 tapauksessa </w:t>
      </w:r>
      <w:r>
        <w:t xml:space="preserve">henkilö </w:t>
      </w:r>
      <w:r w:rsidRPr="0087374D">
        <w:t>t</w:t>
      </w:r>
      <w:r>
        <w:t xml:space="preserve">uomittiin 3 vuoden vankeuteen.  </w:t>
      </w:r>
      <w:r w:rsidRPr="00CC2B58">
        <w:t xml:space="preserve">Ainakin yhdessä tapauksessa tuomio oli 8 vuotta ja </w:t>
      </w:r>
      <w:r w:rsidR="009142A2">
        <w:t xml:space="preserve">lisäksi </w:t>
      </w:r>
      <w:r w:rsidRPr="00CC2B58">
        <w:t>omaisu</w:t>
      </w:r>
      <w:r w:rsidR="009142A2">
        <w:t>us</w:t>
      </w:r>
      <w:r w:rsidRPr="00CC2B58">
        <w:t xml:space="preserve"> takavarikoi</w:t>
      </w:r>
      <w:r w:rsidR="009142A2">
        <w:t>tiin</w:t>
      </w:r>
      <w:r w:rsidRPr="00CC2B58">
        <w:t>.</w:t>
      </w:r>
      <w:r w:rsidR="008D1FC1" w:rsidRPr="008D1FC1">
        <w:rPr>
          <w:rStyle w:val="FootnoteReference"/>
        </w:rPr>
        <w:t xml:space="preserve"> </w:t>
      </w:r>
      <w:r w:rsidR="008D1FC1" w:rsidRPr="00BA4610">
        <w:t>KHPG</w:t>
      </w:r>
      <w:r w:rsidR="00AD24F3" w:rsidRPr="00BA4610">
        <w:t>-järjestön</w:t>
      </w:r>
      <w:r w:rsidR="008D1FC1" w:rsidRPr="00BA4610">
        <w:t xml:space="preserve"> </w:t>
      </w:r>
      <w:r w:rsidR="00A80467" w:rsidRPr="00BA4610">
        <w:t xml:space="preserve">mukaan useimmissa tapauksissa tuomioistuin määrää vankeusrangaistuksen, mutta </w:t>
      </w:r>
      <w:r w:rsidR="008D1FC1" w:rsidRPr="00BA4610">
        <w:t>tuomioistuin</w:t>
      </w:r>
      <w:r w:rsidR="00A80467" w:rsidRPr="00BA4610">
        <w:t xml:space="preserve"> myös vapauttaa</w:t>
      </w:r>
      <w:r w:rsidR="008D1FC1" w:rsidRPr="00BA4610">
        <w:t xml:space="preserve"> usein</w:t>
      </w:r>
      <w:r w:rsidR="00A80467" w:rsidRPr="00BA4610">
        <w:t xml:space="preserve"> henkil</w:t>
      </w:r>
      <w:r w:rsidR="008D1FC1" w:rsidRPr="00BA4610">
        <w:t xml:space="preserve">ön </w:t>
      </w:r>
      <w:r w:rsidR="001F1621" w:rsidRPr="00BA4610">
        <w:t>vankeus</w:t>
      </w:r>
      <w:r w:rsidR="00A80467" w:rsidRPr="00BA4610">
        <w:t xml:space="preserve">rangaistuksen suorittamisesta ja määrää koeajan. </w:t>
      </w:r>
      <w:r w:rsidR="001F1621" w:rsidRPr="00BA4610">
        <w:t xml:space="preserve">Tällöin henkilö ei joudu kärsimään vankeusrangaistusta, mutta joutuu kattamaan oikeudenkäynnin kustannukset ja ilmoittautumaan säännöllisesti poliisiasemalle. </w:t>
      </w:r>
      <w:r w:rsidR="00A80467" w:rsidRPr="00BA4610">
        <w:t>Kaikista 715 tapauksessa 595 henkilön kohdalla oikeus vapautti tuomitun henkilön rangaistuksen suorittamisesta. Artikkelin mukaan on yleistä, että syytetty tekee sopimuksen ja tunnustaa syyllisyytens</w:t>
      </w:r>
      <w:r w:rsidR="00AD24F3" w:rsidRPr="00BA4610">
        <w:t>ä.</w:t>
      </w:r>
      <w:r w:rsidR="006D0112" w:rsidRPr="00BA4610">
        <w:t xml:space="preserve"> </w:t>
      </w:r>
      <w:r w:rsidR="002F219F" w:rsidRPr="00BA4610">
        <w:t xml:space="preserve">Syyllisyyden tunnustamiseen </w:t>
      </w:r>
      <w:r w:rsidR="009256AB" w:rsidRPr="00BA4610">
        <w:t>arvellaan</w:t>
      </w:r>
      <w:r w:rsidR="006D0112" w:rsidRPr="00BA4610">
        <w:t xml:space="preserve"> o</w:t>
      </w:r>
      <w:r w:rsidR="009256AB" w:rsidRPr="00BA4610">
        <w:t>levan</w:t>
      </w:r>
      <w:r w:rsidR="006D0112" w:rsidRPr="00BA4610">
        <w:t xml:space="preserve"> suoraan yhteydessä </w:t>
      </w:r>
      <w:r w:rsidR="002F219F" w:rsidRPr="00BA4610">
        <w:t>siihen, että henkilö ei joudu kärsimään vankeusrangaistusta</w:t>
      </w:r>
      <w:r w:rsidR="006D0112" w:rsidRPr="00BA4610">
        <w:t>.</w:t>
      </w:r>
      <w:r w:rsidR="00CC2B58" w:rsidRPr="00BA4610">
        <w:rPr>
          <w:rStyle w:val="FootnoteReference"/>
        </w:rPr>
        <w:footnoteReference w:id="45"/>
      </w:r>
      <w:r w:rsidR="00AC7DAB" w:rsidRPr="00BA4610">
        <w:t xml:space="preserve"> Amnesty Internationalin mukaan m</w:t>
      </w:r>
      <w:r w:rsidR="00183B77" w:rsidRPr="00BA4610">
        <w:t>onet</w:t>
      </w:r>
      <w:r w:rsidR="00F25067" w:rsidRPr="00BA4610">
        <w:t xml:space="preserve"> </w:t>
      </w:r>
      <w:r w:rsidR="00AC7DAB" w:rsidRPr="00BA4610">
        <w:t xml:space="preserve">436-2 </w:t>
      </w:r>
      <w:r w:rsidR="00405246" w:rsidRPr="00BA4610">
        <w:rPr>
          <w:bCs/>
        </w:rPr>
        <w:t>§:n</w:t>
      </w:r>
      <w:r w:rsidR="00AC7DAB" w:rsidRPr="00BA4610">
        <w:t xml:space="preserve"> nojalla annetuista tuomioista</w:t>
      </w:r>
      <w:r w:rsidR="00183B77" w:rsidRPr="00BA4610">
        <w:t xml:space="preserve"> johtivat rangaistuksiin, jotka eivät olleet vankeusrangaistuksia.</w:t>
      </w:r>
      <w:r w:rsidR="00AC7DAB" w:rsidRPr="00BA4610">
        <w:rPr>
          <w:rStyle w:val="FootnoteReference"/>
        </w:rPr>
        <w:footnoteReference w:id="46"/>
      </w:r>
      <w:r w:rsidR="00BB01A1" w:rsidRPr="00BA4610">
        <w:t xml:space="preserve"> </w:t>
      </w:r>
    </w:p>
    <w:p w14:paraId="2E36860F" w14:textId="33A8AFF7" w:rsidR="00B52535" w:rsidRDefault="00977138" w:rsidP="001A1D01">
      <w:r>
        <w:lastRenderedPageBreak/>
        <w:t xml:space="preserve">436-2 </w:t>
      </w:r>
      <w:r w:rsidR="00405246" w:rsidRPr="00B765DE">
        <w:rPr>
          <w:bCs/>
        </w:rPr>
        <w:t>§</w:t>
      </w:r>
      <w:r w:rsidR="00405246">
        <w:rPr>
          <w:bCs/>
        </w:rPr>
        <w:t>:n</w:t>
      </w:r>
      <w:r w:rsidR="00405246" w:rsidRPr="002D6380">
        <w:t xml:space="preserve"> </w:t>
      </w:r>
      <w:r>
        <w:t>perusteella annetuista tuomioista on lukuisia esimerkkejä</w:t>
      </w:r>
      <w:r w:rsidR="00C61FA7">
        <w:t>.</w:t>
      </w:r>
      <w:r w:rsidR="001A1D01">
        <w:t xml:space="preserve"> </w:t>
      </w:r>
      <w:r w:rsidR="00C61FA7">
        <w:t>E</w:t>
      </w:r>
      <w:r w:rsidR="001A1D01">
        <w:t xml:space="preserve">simerkiksi </w:t>
      </w:r>
      <w:r w:rsidR="00C61FA7">
        <w:t xml:space="preserve">eräs </w:t>
      </w:r>
      <w:r w:rsidR="001A1D01">
        <w:t xml:space="preserve">vanhempi nainen tuomittiin viideksi vuodeksi vankilaan, koska hän oli tykännyt julkaisusta </w:t>
      </w:r>
      <w:proofErr w:type="spellStart"/>
      <w:r w:rsidR="001A1D01">
        <w:t>Odnoklassniki</w:t>
      </w:r>
      <w:proofErr w:type="spellEnd"/>
      <w:r w:rsidR="001A1D01">
        <w:t>-palvelussa</w:t>
      </w:r>
      <w:r w:rsidR="00021324">
        <w:t>,</w:t>
      </w:r>
      <w:r w:rsidR="001A1D01">
        <w:t xml:space="preserve"> ja julkaisu oli automaattisesti jaettu naisen 17</w:t>
      </w:r>
      <w:r w:rsidR="00B06DDA">
        <w:t>8</w:t>
      </w:r>
      <w:r w:rsidR="001A1D01">
        <w:t xml:space="preserve"> ystävän uutissyötteeseen. </w:t>
      </w:r>
      <w:r>
        <w:t>Eläkeläismies tuomittiin kahden vuoden vankeuteen, koska hän oli puhelinkeskustelussa vaimonsa kanssa oikeuttanut ”</w:t>
      </w:r>
      <w:proofErr w:type="spellStart"/>
      <w:r w:rsidRPr="0049492A">
        <w:t>denatsifikaatio</w:t>
      </w:r>
      <w:r w:rsidR="00433930">
        <w:t>n</w:t>
      </w:r>
      <w:proofErr w:type="spellEnd"/>
      <w:r>
        <w:t>”</w:t>
      </w:r>
      <w:r w:rsidR="00433930">
        <w:t xml:space="preserve"> tarvetta</w:t>
      </w:r>
      <w:r>
        <w:t xml:space="preserve"> osana Venäjän hyökkäystä, koska Ukraina on täynnä ”</w:t>
      </w:r>
      <w:proofErr w:type="spellStart"/>
      <w:r>
        <w:t>banderiitteja</w:t>
      </w:r>
      <w:proofErr w:type="spellEnd"/>
      <w:r>
        <w:t xml:space="preserve">”. Valitustuomioistuin oli vahvistanut tuomion. Yhdessä kylässä </w:t>
      </w:r>
      <w:proofErr w:type="spellStart"/>
      <w:r>
        <w:t>Sumyn</w:t>
      </w:r>
      <w:proofErr w:type="spellEnd"/>
      <w:r>
        <w:t xml:space="preserve"> alueella nainen sai tuomion muiden kyläläisten kanssa Ukrainan sodasta käydystä keskustelusta, jossa hän oli kertonut muille, että Ukrainan presidentti aloitti sodan ja Venäjä oli laillisesti hyökännyt Ukrainaan, ja että Ukraina oli syypää kaikkeen. </w:t>
      </w:r>
      <w:r w:rsidRPr="00977138">
        <w:t xml:space="preserve">Nainen oli käynyt useita tällaisia keskusteluja. </w:t>
      </w:r>
      <w:r w:rsidRPr="00A00EE1">
        <w:t xml:space="preserve">Yhdessä </w:t>
      </w:r>
      <w:r>
        <w:t xml:space="preserve">raportoidussa </w:t>
      </w:r>
      <w:r w:rsidRPr="00A00EE1">
        <w:t xml:space="preserve">tapauksessa fysioterapeuttinen hoitaja sai viiden vuoden tuomion hänen </w:t>
      </w:r>
      <w:r>
        <w:t>potilaansa kanssa käymästään keskustelusta, jossa hän oli muun muassa kertonut ihailevansa venäläistä propagandisteja. Päätöksessä oli siteerattu myös muita naisen käymiä keskusteluita potilaiden kanssa. Nainen oli tehnyt sopimuksen syyttäjänviraston kanssa</w:t>
      </w:r>
      <w:r w:rsidR="00433930">
        <w:t>,</w:t>
      </w:r>
      <w:r>
        <w:t xml:space="preserve"> ja hänet oli vapautettu tuomion suorittamisesta.</w:t>
      </w:r>
      <w:r w:rsidR="0060540A" w:rsidRPr="0060540A">
        <w:t xml:space="preserve"> </w:t>
      </w:r>
      <w:r w:rsidR="0060540A">
        <w:t xml:space="preserve">Yksi henkilö </w:t>
      </w:r>
      <w:r w:rsidR="00C721E1">
        <w:t xml:space="preserve">puolestaan </w:t>
      </w:r>
      <w:r w:rsidR="0060540A">
        <w:t>tuomittiin toistuvasta rikoksesta, koska hän lähetti kaksi kertaa kahden päivän aikana WhatsAp</w:t>
      </w:r>
      <w:r w:rsidR="00433930">
        <w:t>p</w:t>
      </w:r>
      <w:r w:rsidR="0060540A">
        <w:t>issa Venäjän hyökkäystä oikeuttavan viestin.</w:t>
      </w:r>
      <w:r>
        <w:rPr>
          <w:rStyle w:val="FootnoteReference"/>
        </w:rPr>
        <w:footnoteReference w:id="47"/>
      </w:r>
      <w:r w:rsidRPr="00A00EE1">
        <w:t xml:space="preserve">  </w:t>
      </w:r>
      <w:r w:rsidRPr="00977138">
        <w:t xml:space="preserve">Amnesty Internationalin mukaan Ukrainan pasifistisen liikkeen perustajan ja johtajan </w:t>
      </w:r>
      <w:proofErr w:type="spellStart"/>
      <w:r w:rsidR="00052919">
        <w:t>Yuriy</w:t>
      </w:r>
      <w:proofErr w:type="spellEnd"/>
      <w:r w:rsidR="00052919">
        <w:t xml:space="preserve"> </w:t>
      </w:r>
      <w:proofErr w:type="spellStart"/>
      <w:r w:rsidR="00052919">
        <w:t>Sheliazhenkon</w:t>
      </w:r>
      <w:proofErr w:type="spellEnd"/>
      <w:r w:rsidRPr="00977138">
        <w:t xml:space="preserve"> osalta aloitettiin 436-2 </w:t>
      </w:r>
      <w:r w:rsidR="00405246" w:rsidRPr="00B765DE">
        <w:rPr>
          <w:bCs/>
        </w:rPr>
        <w:t>§</w:t>
      </w:r>
      <w:r w:rsidR="00405246">
        <w:rPr>
          <w:bCs/>
        </w:rPr>
        <w:t>:n</w:t>
      </w:r>
      <w:r w:rsidRPr="00977138">
        <w:t xml:space="preserve"> mukainen rikosoikeudellinen menettely. Hän on aseistakieltäytymisen puolestapuhuja, ja häntä syytettiin ”Venäjän Ukrainan vastaisen hyökkäyksen oikeuttamisesta”. Hänen kotiinsa tehtiin kotietsintä, ja hänet määrättiin yölliseen ulkonaliikkumiskieltoon odottamaan oikeudenkäyntiä.</w:t>
      </w:r>
      <w:r w:rsidRPr="00977138">
        <w:rPr>
          <w:rStyle w:val="FootnoteReference"/>
        </w:rPr>
        <w:footnoteReference w:id="48"/>
      </w:r>
    </w:p>
    <w:p w14:paraId="474B43EA" w14:textId="36FAF260" w:rsidR="001F45B0" w:rsidRDefault="001F45B0" w:rsidP="001A1D01">
      <w:pPr>
        <w:rPr>
          <w:bCs/>
        </w:rPr>
      </w:pPr>
      <w:proofErr w:type="spellStart"/>
      <w:r w:rsidRPr="00FB63CD">
        <w:t>Freedom</w:t>
      </w:r>
      <w:proofErr w:type="spellEnd"/>
      <w:r w:rsidRPr="00FB63CD">
        <w:t xml:space="preserve"> Housen </w:t>
      </w:r>
      <w:proofErr w:type="spellStart"/>
      <w:r w:rsidRPr="00FB63CD">
        <w:t>Freedom</w:t>
      </w:r>
      <w:proofErr w:type="spellEnd"/>
      <w:r w:rsidRPr="00FB63CD">
        <w:t xml:space="preserve"> on </w:t>
      </w:r>
      <w:proofErr w:type="spellStart"/>
      <w:r w:rsidRPr="00FB63CD">
        <w:t>the</w:t>
      </w:r>
      <w:proofErr w:type="spellEnd"/>
      <w:r w:rsidRPr="00FB63CD">
        <w:t xml:space="preserve"> net 2024 -raportissa mainitaan helmikuussa 2024 sattuneesta tapauksesta, jossa Ukrainan turvallisuuspalvelu syytti miestä 111</w:t>
      </w:r>
      <w:r w:rsidR="00FB63CD">
        <w:t xml:space="preserve"> </w:t>
      </w:r>
      <w:r w:rsidR="00FB63CD" w:rsidRPr="00FB63CD">
        <w:rPr>
          <w:bCs/>
        </w:rPr>
        <w:t>§:n</w:t>
      </w:r>
      <w:r w:rsidR="00FB63CD" w:rsidRPr="00FB63CD">
        <w:rPr>
          <w:rStyle w:val="FootnoteReference"/>
        </w:rPr>
        <w:t xml:space="preserve"> </w:t>
      </w:r>
      <w:r w:rsidR="00565C9E" w:rsidRPr="00FB63CD">
        <w:rPr>
          <w:rStyle w:val="FootnoteReference"/>
        </w:rPr>
        <w:footnoteReference w:id="49"/>
      </w:r>
      <w:r w:rsidR="00B26A1F" w:rsidRPr="00FB63CD">
        <w:t xml:space="preserve"> ja </w:t>
      </w:r>
      <w:r w:rsidR="00112F5E" w:rsidRPr="00FB63CD">
        <w:t xml:space="preserve">436-2 </w:t>
      </w:r>
      <w:r w:rsidR="00112F5E" w:rsidRPr="00FB63CD">
        <w:rPr>
          <w:bCs/>
        </w:rPr>
        <w:t>§:n nojalla yli 60 Venäjän tiedustelupalvelujen rahallisesti tukeman julkaisun laatimisesta Venäjän sähköiseen mediaan. Mies tuomittiin 15 vuoden vankeusrangaistukseen huhtikuussa 2024.</w:t>
      </w:r>
      <w:r w:rsidR="00112F5E" w:rsidRPr="00FB63CD">
        <w:rPr>
          <w:rStyle w:val="FootnoteReference"/>
          <w:bCs/>
        </w:rPr>
        <w:footnoteReference w:id="50"/>
      </w:r>
      <w:r w:rsidR="00112F5E" w:rsidRPr="00FB63CD">
        <w:rPr>
          <w:bCs/>
        </w:rPr>
        <w:t xml:space="preserve"> </w:t>
      </w:r>
    </w:p>
    <w:p w14:paraId="7A14C9C4" w14:textId="77777777" w:rsidR="00061D72" w:rsidRPr="009E0EFD" w:rsidRDefault="00061D72" w:rsidP="00061D72">
      <w:proofErr w:type="spellStart"/>
      <w:r w:rsidRPr="009E0EFD">
        <w:t>Freedom</w:t>
      </w:r>
      <w:proofErr w:type="spellEnd"/>
      <w:r w:rsidRPr="009E0EFD">
        <w:t xml:space="preserve"> Housen </w:t>
      </w:r>
      <w:proofErr w:type="spellStart"/>
      <w:r w:rsidRPr="009E0EFD">
        <w:t>Freedom</w:t>
      </w:r>
      <w:proofErr w:type="spellEnd"/>
      <w:r w:rsidRPr="009E0EFD">
        <w:t xml:space="preserve"> on </w:t>
      </w:r>
      <w:proofErr w:type="spellStart"/>
      <w:r w:rsidRPr="009E0EFD">
        <w:t>the</w:t>
      </w:r>
      <w:proofErr w:type="spellEnd"/>
      <w:r w:rsidRPr="009E0EFD">
        <w:t xml:space="preserve"> net 2024 -raportissa mainitaan myös, että Ukrainan turvallisuuspalvelu on usein käyttänyt rikoslain 109 §:ää ja 110 §:ää Venäjän agenteiksi väitettyjä henkilöitä vastaan heidän monenlaisten verkossa esittämien puheidensa vuoksi. </w:t>
      </w:r>
    </w:p>
    <w:p w14:paraId="0A8D5499" w14:textId="77777777" w:rsidR="00061D72" w:rsidRPr="009E0EFD" w:rsidRDefault="00061D72" w:rsidP="00061D72">
      <w:pPr>
        <w:pStyle w:val="ListParagraph"/>
        <w:numPr>
          <w:ilvl w:val="0"/>
          <w:numId w:val="42"/>
        </w:numPr>
      </w:pPr>
      <w:r w:rsidRPr="009E0EFD">
        <w:t>Rikoslain 109 § kriminalisoi toimet, jotka tähtäävät perustuslaillisen järjestyksen väkivaltaiseen muuttamiseen tai kumoamiseen tai</w:t>
      </w:r>
      <w:r>
        <w:t xml:space="preserve"> vallankaappaukseen</w:t>
      </w:r>
      <w:r w:rsidRPr="009E0EFD">
        <w:t>.</w:t>
      </w:r>
      <w:r w:rsidRPr="009E0EFD">
        <w:rPr>
          <w:rStyle w:val="FootnoteReference"/>
        </w:rPr>
        <w:footnoteReference w:id="51"/>
      </w:r>
      <w:r w:rsidRPr="009E0EFD">
        <w:t xml:space="preserve">  </w:t>
      </w:r>
      <w:r>
        <w:t xml:space="preserve">Lain </w:t>
      </w:r>
      <w:r w:rsidRPr="009E0EFD">
        <w:t>1</w:t>
      </w:r>
      <w:r>
        <w:t>. momentin</w:t>
      </w:r>
      <w:r w:rsidRPr="009E0EFD">
        <w:t xml:space="preserve"> mukaan rangaistus näistä teoista on 5–10 vankeutta, 2</w:t>
      </w:r>
      <w:r>
        <w:t>. momentin</w:t>
      </w:r>
      <w:r w:rsidRPr="009E0EFD">
        <w:t xml:space="preserve"> mukaisesta julkisesta kehotuksesta näihin tekoihin voidaan tuomita enintään kolmen vuoden vapauden rajoitukseen tai samanmittaiseen vankeusrangaistukseen. 3</w:t>
      </w:r>
      <w:r>
        <w:t>. momentin</w:t>
      </w:r>
      <w:r w:rsidRPr="009E0EFD">
        <w:t xml:space="preserve"> mukaan muun muassa viranomaisen tekemänä tai toistuvana rikoksena 2</w:t>
      </w:r>
      <w:r>
        <w:t>. momentin</w:t>
      </w:r>
      <w:r w:rsidRPr="009E0EFD">
        <w:t xml:space="preserve"> teoista voidaan tuomita enintään viiden vuoden vapauden rajoitukseen tai samanmittaiseen vankeusrangaistukseen. Rangaistuksiin voi kuulua omaisuuden takavarikointi.</w:t>
      </w:r>
      <w:r w:rsidRPr="009E0EFD">
        <w:rPr>
          <w:rStyle w:val="FootnoteReference"/>
        </w:rPr>
        <w:footnoteReference w:id="52"/>
      </w:r>
    </w:p>
    <w:p w14:paraId="6AF336BD" w14:textId="77777777" w:rsidR="00061D72" w:rsidRPr="00061D72" w:rsidRDefault="00061D72" w:rsidP="00061D72">
      <w:pPr>
        <w:rPr>
          <w:color w:val="FF0000"/>
        </w:rPr>
      </w:pPr>
    </w:p>
    <w:p w14:paraId="0F87E39A" w14:textId="436CA258" w:rsidR="00061D72" w:rsidRPr="00C9529F" w:rsidRDefault="00061D72" w:rsidP="00061D72">
      <w:pPr>
        <w:pStyle w:val="ListParagraph"/>
        <w:numPr>
          <w:ilvl w:val="0"/>
          <w:numId w:val="42"/>
        </w:numPr>
      </w:pPr>
      <w:r w:rsidRPr="009E0EFD">
        <w:lastRenderedPageBreak/>
        <w:t>Rikoslain 110 § kriminalisoi muun muassa julkiset kehotukset Ukrainan alueellisen koskemattomuuden loukkaamiseen.</w:t>
      </w:r>
      <w:r w:rsidRPr="009E0EFD">
        <w:rPr>
          <w:rStyle w:val="FootnoteReference"/>
        </w:rPr>
        <w:footnoteReference w:id="53"/>
      </w:r>
      <w:r w:rsidRPr="009E0EFD">
        <w:t xml:space="preserve"> Rangaistuksena on 3–5 vuotta vankeutta. </w:t>
      </w:r>
      <w:r>
        <w:t>Lain</w:t>
      </w:r>
      <w:r w:rsidRPr="009E0EFD">
        <w:t xml:space="preserve"> 2</w:t>
      </w:r>
      <w:r>
        <w:t>. momentin</w:t>
      </w:r>
      <w:r w:rsidRPr="009E0EFD">
        <w:t xml:space="preserve"> mukaan, jos tekoon on syyllistynyt muun muassa viranomainen tai kyseessä on toistuva teko, tai jos niihin liittyy kansallise</w:t>
      </w:r>
      <w:r>
        <w:t>e</w:t>
      </w:r>
      <w:r w:rsidRPr="009E0EFD">
        <w:t>n tai uskonnollise</w:t>
      </w:r>
      <w:r>
        <w:t>e</w:t>
      </w:r>
      <w:r w:rsidRPr="009E0EFD">
        <w:t>n vihamielisyy</w:t>
      </w:r>
      <w:r>
        <w:t>teen</w:t>
      </w:r>
      <w:r w:rsidRPr="009E0EFD">
        <w:t xml:space="preserve"> </w:t>
      </w:r>
      <w:r>
        <w:t>kiihottamista</w:t>
      </w:r>
      <w:r w:rsidRPr="009E0EFD">
        <w:t xml:space="preserve">, rangaistus on 5–10 </w:t>
      </w:r>
      <w:r>
        <w:t xml:space="preserve">vuotta </w:t>
      </w:r>
      <w:r w:rsidRPr="009E0EFD">
        <w:t>vankeutta. 3</w:t>
      </w:r>
      <w:r>
        <w:t>. momentin</w:t>
      </w:r>
      <w:r w:rsidRPr="009E0EFD">
        <w:t xml:space="preserve"> mukaan, jos teot ovat aiheuttaneet kuoleman tai muita vakavia seurauksia, rangaistus on 10–15 vankeutta tai elinkautinen vankeusrangaistus. Rangaistuksiin voi kuulua omaisuuden </w:t>
      </w:r>
      <w:r w:rsidRPr="00C9529F">
        <w:t>takavarikointi.</w:t>
      </w:r>
      <w:r w:rsidRPr="00C9529F">
        <w:rPr>
          <w:rStyle w:val="FootnoteReference"/>
        </w:rPr>
        <w:footnoteReference w:id="54"/>
      </w:r>
      <w:r w:rsidRPr="00C9529F">
        <w:t xml:space="preserve"> </w:t>
      </w:r>
    </w:p>
    <w:p w14:paraId="6B3356FF" w14:textId="55E1C1B9" w:rsidR="00061D72" w:rsidRDefault="00061D72" w:rsidP="00061D72">
      <w:pPr>
        <w:rPr>
          <w:color w:val="FF0000"/>
        </w:rPr>
      </w:pPr>
      <w:r w:rsidRPr="00C9529F">
        <w:t>Esimerkkinä mainitaan nainen, jota syytettiin</w:t>
      </w:r>
      <w:r w:rsidR="00225BE5">
        <w:t xml:space="preserve"> he</w:t>
      </w:r>
      <w:r w:rsidR="00731015">
        <w:t>l</w:t>
      </w:r>
      <w:r w:rsidR="00225BE5">
        <w:t>m</w:t>
      </w:r>
      <w:r w:rsidR="00731015">
        <w:t>i</w:t>
      </w:r>
      <w:r w:rsidR="00225BE5">
        <w:t>kuussa 2024</w:t>
      </w:r>
      <w:r w:rsidRPr="00C9529F">
        <w:t xml:space="preserve"> 109 §:n, 110 §:n ja 436-2 §:n nojalla entisen pääministerin propagandistisien viestien koordinoinnista pääministerin </w:t>
      </w:r>
      <w:proofErr w:type="spellStart"/>
      <w:r w:rsidRPr="00C9529F">
        <w:t>Telegram</w:t>
      </w:r>
      <w:proofErr w:type="spellEnd"/>
      <w:r w:rsidRPr="00C9529F">
        <w:t>-kanavalla ja sosiaalisessa mediassa, sekä Ukrainan vastaisten haastattelujen ja kommentaarien järjestämisestä Venäjän medialle. Nainen oli vangittuna ja tapaus oli oikeuden käsittelyssä raportin kirjoittamisaikana. Toisena esimerkkinä mainitaan tapaus, jossa naista syytettiin</w:t>
      </w:r>
      <w:r w:rsidR="00731015">
        <w:t xml:space="preserve"> vuoden 2024 tammikuussa</w:t>
      </w:r>
      <w:r w:rsidRPr="00C9529F">
        <w:t xml:space="preserve"> 110 §:n nojalla Ukrainan vastaisten julkaisujen luomisesta ja jakamisesta Venäjä-myönteisellä </w:t>
      </w:r>
      <w:proofErr w:type="spellStart"/>
      <w:r w:rsidRPr="00C9529F">
        <w:t>Telegram</w:t>
      </w:r>
      <w:proofErr w:type="spellEnd"/>
      <w:r w:rsidRPr="00C9529F">
        <w:t xml:space="preserve">-kanavalla. </w:t>
      </w:r>
      <w:r w:rsidR="00731015">
        <w:t>Joulukuussa 2023 tuomittiin henkilö s</w:t>
      </w:r>
      <w:r w:rsidRPr="00C9529F">
        <w:t>amankaltaisesta rikoksesta 5 vuoden vankeusrangaistukseen, joka oli muutettu 18 kuukauden koeajaksi.</w:t>
      </w:r>
      <w:r w:rsidRPr="00C9529F">
        <w:rPr>
          <w:rStyle w:val="FootnoteReference"/>
        </w:rPr>
        <w:footnoteReference w:id="55"/>
      </w:r>
      <w:r w:rsidRPr="00C9529F">
        <w:t xml:space="preserve"> </w:t>
      </w:r>
    </w:p>
    <w:p w14:paraId="5431158E" w14:textId="0AAC1459" w:rsidR="00061D72" w:rsidRPr="00DD3B40" w:rsidRDefault="00061D72" w:rsidP="001A1D01">
      <w:pPr>
        <w:rPr>
          <w:color w:val="FF0000"/>
        </w:rPr>
      </w:pPr>
      <w:r w:rsidRPr="00C9529F">
        <w:t>Raportissa mainitaan myös tapaus, jossa freelance-journalisti tuomittiin joulukuussa 2023 maanpetoksesta 14 vuodeksi vankeuteen ja omaisuuden takavarikkoon Venäjä-myönteisessä propagandistisessa sähköisessä tiedotusvälineessä työskentelemisestä. Tuomiosta valitettiin ja se lähetettiin uudestaan ensimmäisen asteen tuomioistuimen käsiteltäväksi. Käsittely oli kesken raportin kirjoittamisaikaan.</w:t>
      </w:r>
      <w:r w:rsidRPr="00C9529F">
        <w:rPr>
          <w:rStyle w:val="FootnoteReference"/>
        </w:rPr>
        <w:footnoteReference w:id="56"/>
      </w:r>
      <w:r w:rsidRPr="00C9529F">
        <w:t xml:space="preserve">  </w:t>
      </w:r>
    </w:p>
    <w:p w14:paraId="60C5FB07" w14:textId="3CACB345" w:rsidR="00911A06" w:rsidRDefault="00A7149B" w:rsidP="00911A06">
      <w:pPr>
        <w:pStyle w:val="Numeroimatonotsikko"/>
      </w:pPr>
      <w:r>
        <w:t xml:space="preserve">Yhteistoiminta </w:t>
      </w:r>
      <w:r w:rsidR="00D30490">
        <w:t xml:space="preserve">vihollisen kanssa </w:t>
      </w:r>
    </w:p>
    <w:p w14:paraId="70C812A8" w14:textId="023631B8" w:rsidR="00535A63" w:rsidRDefault="00DF0B9A" w:rsidP="00810688">
      <w:pPr>
        <w:pStyle w:val="Numeroimatonotsikko"/>
        <w:spacing w:before="160" w:after="160" w:line="260" w:lineRule="exact"/>
        <w:rPr>
          <w:b w:val="0"/>
          <w:bCs/>
        </w:rPr>
      </w:pPr>
      <w:r>
        <w:rPr>
          <w:b w:val="0"/>
          <w:bCs/>
        </w:rPr>
        <w:t xml:space="preserve">Ukrainan rikoslakia päivitettiin maalis-huhtikuussa 2022 kahdella uudella </w:t>
      </w:r>
      <w:r w:rsidR="00A038C7">
        <w:rPr>
          <w:b w:val="0"/>
          <w:bCs/>
        </w:rPr>
        <w:t>pykälällä.</w:t>
      </w:r>
      <w:r w:rsidR="00535A63">
        <w:rPr>
          <w:b w:val="0"/>
          <w:bCs/>
        </w:rPr>
        <w:t xml:space="preserve"> Rikoslain</w:t>
      </w:r>
      <w:r w:rsidR="00A038C7">
        <w:rPr>
          <w:b w:val="0"/>
          <w:bCs/>
        </w:rPr>
        <w:t xml:space="preserve"> </w:t>
      </w:r>
      <w:r w:rsidR="00320A79">
        <w:rPr>
          <w:b w:val="0"/>
          <w:bCs/>
        </w:rPr>
        <w:t>111-1</w:t>
      </w:r>
      <w:r w:rsidR="00B765DE">
        <w:rPr>
          <w:b w:val="0"/>
          <w:bCs/>
        </w:rPr>
        <w:t xml:space="preserve"> </w:t>
      </w:r>
      <w:r w:rsidR="00B765DE" w:rsidRPr="00B765DE">
        <w:rPr>
          <w:b w:val="0"/>
          <w:bCs/>
        </w:rPr>
        <w:t>§</w:t>
      </w:r>
      <w:r>
        <w:rPr>
          <w:b w:val="0"/>
          <w:bCs/>
        </w:rPr>
        <w:t xml:space="preserve"> </w:t>
      </w:r>
      <w:r w:rsidR="00320A79">
        <w:rPr>
          <w:b w:val="0"/>
          <w:bCs/>
        </w:rPr>
        <w:t>koskee yhteistoimintaa</w:t>
      </w:r>
      <w:r w:rsidR="00425D04">
        <w:rPr>
          <w:b w:val="0"/>
          <w:bCs/>
        </w:rPr>
        <w:t xml:space="preserve"> </w:t>
      </w:r>
      <w:r w:rsidR="00320A79">
        <w:rPr>
          <w:b w:val="0"/>
          <w:bCs/>
        </w:rPr>
        <w:t>vihollisen kanssa</w:t>
      </w:r>
      <w:r w:rsidR="00425D04">
        <w:rPr>
          <w:b w:val="0"/>
          <w:bCs/>
        </w:rPr>
        <w:t xml:space="preserve"> (engl. </w:t>
      </w:r>
      <w:proofErr w:type="spellStart"/>
      <w:r w:rsidR="00425D04">
        <w:rPr>
          <w:b w:val="0"/>
          <w:bCs/>
        </w:rPr>
        <w:t>collaboration</w:t>
      </w:r>
      <w:proofErr w:type="spellEnd"/>
      <w:r w:rsidR="00425D04">
        <w:rPr>
          <w:b w:val="0"/>
          <w:bCs/>
        </w:rPr>
        <w:t>) ja sisältää listan yhteistoimintana pidettävistä teoista, joista seuraa rikosoikeudellinen vastuu</w:t>
      </w:r>
      <w:r w:rsidR="00320A79">
        <w:rPr>
          <w:b w:val="0"/>
          <w:bCs/>
        </w:rPr>
        <w:t>.</w:t>
      </w:r>
      <w:r w:rsidR="004C4A09">
        <w:rPr>
          <w:b w:val="0"/>
          <w:bCs/>
        </w:rPr>
        <w:t xml:space="preserve"> </w:t>
      </w:r>
      <w:r w:rsidR="00535A63">
        <w:rPr>
          <w:b w:val="0"/>
          <w:bCs/>
        </w:rPr>
        <w:t xml:space="preserve">Rikoslain </w:t>
      </w:r>
      <w:r>
        <w:rPr>
          <w:b w:val="0"/>
          <w:bCs/>
        </w:rPr>
        <w:t xml:space="preserve">111-2 </w:t>
      </w:r>
      <w:r w:rsidR="00F52459" w:rsidRPr="00F52459">
        <w:rPr>
          <w:b w:val="0"/>
        </w:rPr>
        <w:t>§</w:t>
      </w:r>
      <w:r w:rsidR="00F52459">
        <w:rPr>
          <w:bCs/>
        </w:rPr>
        <w:t xml:space="preserve"> </w:t>
      </w:r>
      <w:r w:rsidR="00425D04">
        <w:rPr>
          <w:b w:val="0"/>
          <w:bCs/>
        </w:rPr>
        <w:t xml:space="preserve">puolestaan koskee </w:t>
      </w:r>
      <w:r w:rsidR="00BB3D4C">
        <w:rPr>
          <w:b w:val="0"/>
          <w:bCs/>
        </w:rPr>
        <w:t xml:space="preserve">avunantoa </w:t>
      </w:r>
      <w:r w:rsidR="00425D04">
        <w:rPr>
          <w:b w:val="0"/>
          <w:bCs/>
        </w:rPr>
        <w:t>hyökkääjävaltio</w:t>
      </w:r>
      <w:r w:rsidR="00BB3D4C">
        <w:rPr>
          <w:b w:val="0"/>
          <w:bCs/>
        </w:rPr>
        <w:t>lle.</w:t>
      </w:r>
      <w:r w:rsidR="00425D04">
        <w:rPr>
          <w:rStyle w:val="FootnoteReference"/>
          <w:b w:val="0"/>
          <w:bCs/>
        </w:rPr>
        <w:footnoteReference w:id="57"/>
      </w:r>
      <w:r w:rsidR="00425D04">
        <w:rPr>
          <w:b w:val="0"/>
          <w:bCs/>
        </w:rPr>
        <w:t xml:space="preserve"> </w:t>
      </w:r>
      <w:r w:rsidR="00BB3D4C">
        <w:rPr>
          <w:b w:val="0"/>
          <w:bCs/>
        </w:rPr>
        <w:t xml:space="preserve">111-1 </w:t>
      </w:r>
      <w:r w:rsidR="00F52459" w:rsidRPr="00F52459">
        <w:rPr>
          <w:b w:val="0"/>
        </w:rPr>
        <w:t>§</w:t>
      </w:r>
      <w:r w:rsidR="00F52459">
        <w:rPr>
          <w:bCs/>
        </w:rPr>
        <w:t xml:space="preserve"> </w:t>
      </w:r>
      <w:r w:rsidR="00BB3D4C">
        <w:rPr>
          <w:b w:val="0"/>
          <w:bCs/>
        </w:rPr>
        <w:t xml:space="preserve">koskee ainoastaan Ukrainan kansalaisia, 111-2 </w:t>
      </w:r>
      <w:r w:rsidR="008D2111" w:rsidRPr="00F52459">
        <w:rPr>
          <w:b w:val="0"/>
        </w:rPr>
        <w:t>§</w:t>
      </w:r>
      <w:r w:rsidR="008D2111">
        <w:rPr>
          <w:b w:val="0"/>
        </w:rPr>
        <w:t xml:space="preserve"> </w:t>
      </w:r>
      <w:r w:rsidR="00BB3D4C">
        <w:rPr>
          <w:b w:val="0"/>
          <w:bCs/>
        </w:rPr>
        <w:t>koskee myös ulkomaalaisia</w:t>
      </w:r>
      <w:r w:rsidR="005311D1">
        <w:rPr>
          <w:b w:val="0"/>
          <w:bCs/>
        </w:rPr>
        <w:t xml:space="preserve">, paitsi </w:t>
      </w:r>
      <w:r w:rsidR="009107E5">
        <w:rPr>
          <w:b w:val="0"/>
          <w:bCs/>
        </w:rPr>
        <w:t>hyökkääjävaltion</w:t>
      </w:r>
      <w:r w:rsidR="005311D1">
        <w:rPr>
          <w:b w:val="0"/>
          <w:bCs/>
        </w:rPr>
        <w:t xml:space="preserve"> kansalaisia.</w:t>
      </w:r>
      <w:r w:rsidR="00BB3D4C">
        <w:rPr>
          <w:rStyle w:val="FootnoteReference"/>
          <w:b w:val="0"/>
          <w:bCs/>
        </w:rPr>
        <w:footnoteReference w:id="58"/>
      </w:r>
      <w:r w:rsidR="00BB3D4C">
        <w:rPr>
          <w:b w:val="0"/>
          <w:bCs/>
        </w:rPr>
        <w:t xml:space="preserve"> </w:t>
      </w:r>
      <w:r w:rsidR="00BD4393">
        <w:rPr>
          <w:b w:val="0"/>
          <w:bCs/>
        </w:rPr>
        <w:t xml:space="preserve">Alla on esitetty </w:t>
      </w:r>
      <w:r w:rsidR="00BD4393">
        <w:rPr>
          <w:b w:val="0"/>
          <w:bCs/>
        </w:rPr>
        <w:t xml:space="preserve">111-1 </w:t>
      </w:r>
      <w:r w:rsidR="00BD4393" w:rsidRPr="00F52459">
        <w:rPr>
          <w:b w:val="0"/>
        </w:rPr>
        <w:t>§</w:t>
      </w:r>
      <w:r w:rsidR="00BD4393">
        <w:rPr>
          <w:b w:val="0"/>
        </w:rPr>
        <w:t xml:space="preserve">:n </w:t>
      </w:r>
      <w:r w:rsidR="0074261D">
        <w:rPr>
          <w:b w:val="0"/>
        </w:rPr>
        <w:t>1</w:t>
      </w:r>
      <w:r w:rsidR="003735FA">
        <w:rPr>
          <w:b w:val="0"/>
        </w:rPr>
        <w:t xml:space="preserve">. ja 6. </w:t>
      </w:r>
      <w:r w:rsidR="00BD4393">
        <w:rPr>
          <w:b w:val="0"/>
        </w:rPr>
        <w:t>momen</w:t>
      </w:r>
      <w:r w:rsidR="003735FA">
        <w:rPr>
          <w:b w:val="0"/>
        </w:rPr>
        <w:t>tti</w:t>
      </w:r>
      <w:r w:rsidR="00BD4393">
        <w:rPr>
          <w:b w:val="0"/>
        </w:rPr>
        <w:t>, jotka käsittelevät ilmaisunvapauteen liittyviä aiheita. Lain muut momentit on esitetty alaviitteessä.</w:t>
      </w:r>
    </w:p>
    <w:p w14:paraId="11FC8F27" w14:textId="6038DBE7" w:rsidR="00535A63" w:rsidRDefault="00351EED" w:rsidP="00535A63">
      <w:pPr>
        <w:pStyle w:val="Numeroimatonotsikko"/>
        <w:numPr>
          <w:ilvl w:val="0"/>
          <w:numId w:val="41"/>
        </w:numPr>
        <w:spacing w:before="160" w:after="160" w:line="260" w:lineRule="exact"/>
        <w:rPr>
          <w:b w:val="0"/>
          <w:bCs/>
        </w:rPr>
      </w:pPr>
      <w:r>
        <w:rPr>
          <w:b w:val="0"/>
          <w:bCs/>
        </w:rPr>
        <w:t>Y</w:t>
      </w:r>
      <w:r w:rsidR="000D0A2B" w:rsidRPr="000D0A2B">
        <w:rPr>
          <w:b w:val="0"/>
          <w:bCs/>
        </w:rPr>
        <w:t>hteistoiminna</w:t>
      </w:r>
      <w:r>
        <w:rPr>
          <w:b w:val="0"/>
          <w:bCs/>
        </w:rPr>
        <w:t>ksi</w:t>
      </w:r>
      <w:r w:rsidRPr="000D0A2B">
        <w:rPr>
          <w:b w:val="0"/>
          <w:bCs/>
        </w:rPr>
        <w:t xml:space="preserve"> määritellään 111-1 §:</w:t>
      </w:r>
      <w:r>
        <w:rPr>
          <w:b w:val="0"/>
          <w:bCs/>
        </w:rPr>
        <w:t>n</w:t>
      </w:r>
      <w:r w:rsidR="00535A63">
        <w:rPr>
          <w:b w:val="0"/>
          <w:bCs/>
        </w:rPr>
        <w:t xml:space="preserve"> </w:t>
      </w:r>
      <w:r w:rsidR="00FE4A3E">
        <w:rPr>
          <w:b w:val="0"/>
          <w:bCs/>
        </w:rPr>
        <w:t>1</w:t>
      </w:r>
      <w:r w:rsidR="00A35B14">
        <w:rPr>
          <w:b w:val="0"/>
          <w:bCs/>
        </w:rPr>
        <w:t>.</w:t>
      </w:r>
      <w:r>
        <w:rPr>
          <w:b w:val="0"/>
          <w:bCs/>
        </w:rPr>
        <w:t xml:space="preserve"> </w:t>
      </w:r>
      <w:r w:rsidR="00223DF7" w:rsidRPr="00A038C7">
        <w:rPr>
          <w:b w:val="0"/>
          <w:bCs/>
        </w:rPr>
        <w:t>momentissa</w:t>
      </w:r>
      <w:r w:rsidR="000751A7" w:rsidRPr="00A038C7">
        <w:rPr>
          <w:b w:val="0"/>
          <w:bCs/>
        </w:rPr>
        <w:t xml:space="preserve"> </w:t>
      </w:r>
      <w:r w:rsidR="000D0A2B" w:rsidRPr="000D0A2B">
        <w:rPr>
          <w:b w:val="0"/>
          <w:bCs/>
        </w:rPr>
        <w:t>Ukrainan vastaisen aseellisen hyökkäyksen julkinen kieltäminen</w:t>
      </w:r>
      <w:r w:rsidR="000751A7">
        <w:rPr>
          <w:b w:val="0"/>
          <w:bCs/>
        </w:rPr>
        <w:t xml:space="preserve">, </w:t>
      </w:r>
      <w:r w:rsidR="000751A7" w:rsidRPr="000751A7">
        <w:rPr>
          <w:b w:val="0"/>
          <w:bCs/>
        </w:rPr>
        <w:t xml:space="preserve">Ukrainan alueen osan väliaikaisen miehityksen </w:t>
      </w:r>
      <w:r w:rsidR="005B70DE">
        <w:rPr>
          <w:b w:val="0"/>
          <w:bCs/>
        </w:rPr>
        <w:t>perustaminen ja vahvistaminen</w:t>
      </w:r>
      <w:r w:rsidR="000751A7" w:rsidRPr="000751A7">
        <w:rPr>
          <w:b w:val="0"/>
          <w:bCs/>
        </w:rPr>
        <w:t>, Ukrainan kansalaisen kehotukset tukea hyökkääjävaltion päätöksiä ja / tai toimia, kehotukset yhteistyöhön hyökkääjävaltion kanssa ja kehotukset olla tunnustamatta Ukrainan valtiollisen itsemääräämisoikeuden ulottumista väliaikaisesti miehitetyille alueille</w:t>
      </w:r>
      <w:r w:rsidR="00F03477">
        <w:rPr>
          <w:b w:val="0"/>
          <w:bCs/>
        </w:rPr>
        <w:t>.</w:t>
      </w:r>
      <w:r w:rsidR="00ED7623">
        <w:rPr>
          <w:rStyle w:val="FootnoteReference"/>
          <w:b w:val="0"/>
          <w:bCs/>
        </w:rPr>
        <w:footnoteReference w:id="59"/>
      </w:r>
      <w:r w:rsidR="001D3169">
        <w:rPr>
          <w:b w:val="0"/>
          <w:bCs/>
        </w:rPr>
        <w:t xml:space="preserve"> </w:t>
      </w:r>
      <w:r w:rsidR="00ED7623" w:rsidRPr="00ED7623">
        <w:rPr>
          <w:b w:val="0"/>
          <w:bCs/>
        </w:rPr>
        <w:t xml:space="preserve">Rangaistus on </w:t>
      </w:r>
      <w:r w:rsidR="005B70DE" w:rsidRPr="00ED7623">
        <w:rPr>
          <w:b w:val="0"/>
          <w:bCs/>
        </w:rPr>
        <w:t xml:space="preserve">kielto toimia tietyissä tehtävissä tai harjoittaa tiettyä toimintaa </w:t>
      </w:r>
      <w:r w:rsidR="00ED7623" w:rsidRPr="00ED7623">
        <w:rPr>
          <w:b w:val="0"/>
          <w:bCs/>
        </w:rPr>
        <w:t>10</w:t>
      </w:r>
      <w:r w:rsidR="00535A63">
        <w:rPr>
          <w:b w:val="0"/>
          <w:bCs/>
        </w:rPr>
        <w:t>–</w:t>
      </w:r>
      <w:r w:rsidR="00ED7623" w:rsidRPr="00ED7623">
        <w:rPr>
          <w:b w:val="0"/>
          <w:bCs/>
        </w:rPr>
        <w:t>15</w:t>
      </w:r>
      <w:r w:rsidR="00535A63">
        <w:rPr>
          <w:b w:val="0"/>
          <w:bCs/>
        </w:rPr>
        <w:t xml:space="preserve"> </w:t>
      </w:r>
      <w:r w:rsidR="00ED7623" w:rsidRPr="00ED7623">
        <w:rPr>
          <w:b w:val="0"/>
          <w:bCs/>
        </w:rPr>
        <w:t>vuode</w:t>
      </w:r>
      <w:r w:rsidR="005B70DE">
        <w:rPr>
          <w:b w:val="0"/>
          <w:bCs/>
        </w:rPr>
        <w:t>n ajan</w:t>
      </w:r>
      <w:r w:rsidR="00ED7623" w:rsidRPr="00ED7623">
        <w:rPr>
          <w:b w:val="0"/>
          <w:bCs/>
        </w:rPr>
        <w:t>.</w:t>
      </w:r>
      <w:r w:rsidR="00ED7623">
        <w:rPr>
          <w:rStyle w:val="FootnoteReference"/>
          <w:b w:val="0"/>
          <w:bCs/>
        </w:rPr>
        <w:footnoteReference w:id="60"/>
      </w:r>
      <w:r w:rsidR="00ED7623">
        <w:rPr>
          <w:b w:val="0"/>
          <w:bCs/>
        </w:rPr>
        <w:t xml:space="preserve"> </w:t>
      </w:r>
      <w:r w:rsidR="00F03477">
        <w:rPr>
          <w:b w:val="0"/>
          <w:bCs/>
        </w:rPr>
        <w:t xml:space="preserve"> </w:t>
      </w:r>
    </w:p>
    <w:p w14:paraId="7F568C95" w14:textId="00590424" w:rsidR="00535A63" w:rsidRDefault="00057565" w:rsidP="00535A63">
      <w:pPr>
        <w:pStyle w:val="Numeroimatonotsikko"/>
        <w:numPr>
          <w:ilvl w:val="0"/>
          <w:numId w:val="41"/>
        </w:numPr>
        <w:spacing w:before="160" w:after="160" w:line="260" w:lineRule="exact"/>
        <w:rPr>
          <w:b w:val="0"/>
          <w:bCs/>
        </w:rPr>
      </w:pPr>
      <w:r w:rsidRPr="000D0A2B">
        <w:rPr>
          <w:b w:val="0"/>
          <w:bCs/>
        </w:rPr>
        <w:t>111-1 §:</w:t>
      </w:r>
      <w:r>
        <w:rPr>
          <w:b w:val="0"/>
          <w:bCs/>
        </w:rPr>
        <w:t>n</w:t>
      </w:r>
      <w:r w:rsidR="00E823A6">
        <w:rPr>
          <w:b w:val="0"/>
          <w:bCs/>
        </w:rPr>
        <w:t xml:space="preserve"> </w:t>
      </w:r>
      <w:r w:rsidR="00FE4A3E">
        <w:rPr>
          <w:b w:val="0"/>
          <w:bCs/>
        </w:rPr>
        <w:t>6</w:t>
      </w:r>
      <w:r w:rsidR="00A35B14">
        <w:rPr>
          <w:b w:val="0"/>
          <w:bCs/>
        </w:rPr>
        <w:t>.</w:t>
      </w:r>
      <w:r w:rsidR="00A038C7">
        <w:rPr>
          <w:b w:val="0"/>
          <w:bCs/>
        </w:rPr>
        <w:t xml:space="preserve"> momentti </w:t>
      </w:r>
      <w:r w:rsidR="0016443D">
        <w:rPr>
          <w:b w:val="0"/>
          <w:bCs/>
        </w:rPr>
        <w:t xml:space="preserve">sisältää </w:t>
      </w:r>
      <w:r w:rsidR="000D0A2B" w:rsidRPr="000D0A2B">
        <w:rPr>
          <w:b w:val="0"/>
          <w:bCs/>
        </w:rPr>
        <w:t>poliittisten tapahtumien järjestämi</w:t>
      </w:r>
      <w:r w:rsidR="0016443D">
        <w:rPr>
          <w:b w:val="0"/>
          <w:bCs/>
        </w:rPr>
        <w:t>s</w:t>
      </w:r>
      <w:r w:rsidR="000D0A2B" w:rsidRPr="000D0A2B">
        <w:rPr>
          <w:b w:val="0"/>
          <w:bCs/>
        </w:rPr>
        <w:t>en ja toteuttami</w:t>
      </w:r>
      <w:r w:rsidR="0016443D">
        <w:rPr>
          <w:b w:val="0"/>
          <w:bCs/>
        </w:rPr>
        <w:t>s</w:t>
      </w:r>
      <w:r w:rsidR="000D0A2B" w:rsidRPr="000D0A2B">
        <w:rPr>
          <w:b w:val="0"/>
          <w:bCs/>
        </w:rPr>
        <w:t>en</w:t>
      </w:r>
      <w:r w:rsidR="0016443D">
        <w:rPr>
          <w:b w:val="0"/>
          <w:bCs/>
        </w:rPr>
        <w:t xml:space="preserve"> ja</w:t>
      </w:r>
      <w:r w:rsidR="000D0A2B" w:rsidRPr="000D0A2B">
        <w:rPr>
          <w:b w:val="0"/>
          <w:bCs/>
        </w:rPr>
        <w:t xml:space="preserve"> tiedotustoim</w:t>
      </w:r>
      <w:r w:rsidR="0016443D">
        <w:rPr>
          <w:b w:val="0"/>
          <w:bCs/>
        </w:rPr>
        <w:t>innan</w:t>
      </w:r>
      <w:r w:rsidR="000D0A2B" w:rsidRPr="000D0A2B">
        <w:rPr>
          <w:b w:val="0"/>
          <w:bCs/>
        </w:rPr>
        <w:t xml:space="preserve"> yhteistyössä hyökkääjävaltion</w:t>
      </w:r>
      <w:r>
        <w:rPr>
          <w:b w:val="0"/>
          <w:bCs/>
        </w:rPr>
        <w:t xml:space="preserve"> </w:t>
      </w:r>
      <w:r w:rsidR="000D0A2B" w:rsidRPr="000D0A2B">
        <w:rPr>
          <w:b w:val="0"/>
          <w:bCs/>
        </w:rPr>
        <w:t>kanssa</w:t>
      </w:r>
      <w:r w:rsidR="00F03477">
        <w:rPr>
          <w:b w:val="0"/>
          <w:bCs/>
        </w:rPr>
        <w:t>.</w:t>
      </w:r>
      <w:r w:rsidR="00E675DA">
        <w:rPr>
          <w:rStyle w:val="FootnoteReference"/>
          <w:b w:val="0"/>
          <w:bCs/>
        </w:rPr>
        <w:footnoteReference w:id="61"/>
      </w:r>
      <w:r w:rsidR="00ED7623">
        <w:rPr>
          <w:b w:val="0"/>
          <w:bCs/>
        </w:rPr>
        <w:t xml:space="preserve"> </w:t>
      </w:r>
      <w:r w:rsidR="00ED7623" w:rsidRPr="00ED7623">
        <w:rPr>
          <w:b w:val="0"/>
          <w:bCs/>
        </w:rPr>
        <w:t xml:space="preserve">Rangaistuksena on 10–12 </w:t>
      </w:r>
      <w:r w:rsidR="00ED7623" w:rsidRPr="00ED7623">
        <w:rPr>
          <w:b w:val="0"/>
          <w:bCs/>
        </w:rPr>
        <w:lastRenderedPageBreak/>
        <w:t>vuoden vankeusrangaistus ja kielto toimia tietyissä tehtävissä tai harjoittaa tiettyä toimintaa kymmenestä viiteentoista vuoden ajan</w:t>
      </w:r>
      <w:r w:rsidR="00E13158">
        <w:rPr>
          <w:b w:val="0"/>
          <w:bCs/>
        </w:rPr>
        <w:t xml:space="preserve">. Rangaistukseen </w:t>
      </w:r>
      <w:r w:rsidR="00ED7623" w:rsidRPr="00ED7623">
        <w:rPr>
          <w:b w:val="0"/>
          <w:bCs/>
        </w:rPr>
        <w:t>voi liittyä omaisuuden takavarikointi.</w:t>
      </w:r>
      <w:r w:rsidR="00ED7623">
        <w:rPr>
          <w:rStyle w:val="FootnoteReference"/>
          <w:b w:val="0"/>
          <w:bCs/>
        </w:rPr>
        <w:footnoteReference w:id="62"/>
      </w:r>
      <w:r w:rsidR="00ED7623">
        <w:rPr>
          <w:b w:val="0"/>
          <w:bCs/>
        </w:rPr>
        <w:t xml:space="preserve"> </w:t>
      </w:r>
      <w:r w:rsidR="00ED7623" w:rsidRPr="00ED7623">
        <w:rPr>
          <w:b w:val="0"/>
          <w:bCs/>
        </w:rPr>
        <w:t xml:space="preserve"> </w:t>
      </w:r>
    </w:p>
    <w:p w14:paraId="60F63D59" w14:textId="1BA904AE" w:rsidR="00535A63" w:rsidRDefault="00A35B14" w:rsidP="00535A63">
      <w:pPr>
        <w:pStyle w:val="Numeroimatonotsikko"/>
        <w:numPr>
          <w:ilvl w:val="0"/>
          <w:numId w:val="41"/>
        </w:numPr>
        <w:spacing w:before="160" w:after="160" w:line="260" w:lineRule="exact"/>
        <w:rPr>
          <w:b w:val="0"/>
          <w:bCs/>
        </w:rPr>
      </w:pPr>
      <w:r w:rsidRPr="000D0A2B">
        <w:rPr>
          <w:b w:val="0"/>
          <w:bCs/>
        </w:rPr>
        <w:t>111-1 §:</w:t>
      </w:r>
      <w:r>
        <w:rPr>
          <w:b w:val="0"/>
          <w:bCs/>
        </w:rPr>
        <w:t xml:space="preserve">n </w:t>
      </w:r>
      <w:r w:rsidR="00FE4A3E">
        <w:rPr>
          <w:b w:val="0"/>
          <w:bCs/>
        </w:rPr>
        <w:t>8</w:t>
      </w:r>
      <w:r>
        <w:rPr>
          <w:b w:val="0"/>
          <w:bCs/>
        </w:rPr>
        <w:t>.</w:t>
      </w:r>
      <w:r w:rsidR="00FE4A3E">
        <w:rPr>
          <w:b w:val="0"/>
          <w:bCs/>
        </w:rPr>
        <w:t xml:space="preserve"> </w:t>
      </w:r>
      <w:r w:rsidR="00A038C7">
        <w:rPr>
          <w:b w:val="0"/>
          <w:bCs/>
        </w:rPr>
        <w:t>momentin</w:t>
      </w:r>
      <w:r w:rsidR="00E13158">
        <w:rPr>
          <w:b w:val="0"/>
          <w:bCs/>
        </w:rPr>
        <w:t xml:space="preserve"> mukaan </w:t>
      </w:r>
      <w:r w:rsidR="00F52459">
        <w:rPr>
          <w:b w:val="0"/>
          <w:bCs/>
        </w:rPr>
        <w:t xml:space="preserve">111-1 </w:t>
      </w:r>
      <w:r w:rsidR="00F52459" w:rsidRPr="00F52459">
        <w:rPr>
          <w:b w:val="0"/>
        </w:rPr>
        <w:t>§</w:t>
      </w:r>
      <w:r w:rsidR="00F52459">
        <w:rPr>
          <w:b w:val="0"/>
        </w:rPr>
        <w:t>:n</w:t>
      </w:r>
      <w:r w:rsidR="00E13158" w:rsidRPr="00E13158">
        <w:rPr>
          <w:b w:val="0"/>
          <w:bCs/>
        </w:rPr>
        <w:t xml:space="preserve"> 5-7 </w:t>
      </w:r>
      <w:r w:rsidR="00A038C7">
        <w:rPr>
          <w:b w:val="0"/>
          <w:bCs/>
        </w:rPr>
        <w:t>momenteissa</w:t>
      </w:r>
      <w:r w:rsidR="00E13158" w:rsidRPr="00E13158">
        <w:rPr>
          <w:b w:val="0"/>
          <w:bCs/>
        </w:rPr>
        <w:t xml:space="preserve"> mainittujen henkilöiden toimista tai päätöksenteosta, jotka ovat johtaneet ihmisten kuolemaan tai muihin vakaviin seurauksiin, rangaistaan</w:t>
      </w:r>
      <w:r w:rsidR="00613F75">
        <w:rPr>
          <w:b w:val="0"/>
          <w:bCs/>
        </w:rPr>
        <w:t xml:space="preserve"> </w:t>
      </w:r>
      <w:r w:rsidR="00E13158">
        <w:rPr>
          <w:b w:val="0"/>
          <w:bCs/>
        </w:rPr>
        <w:t>15 vuoden vankeustuomio</w:t>
      </w:r>
      <w:r w:rsidR="00613F75">
        <w:rPr>
          <w:b w:val="0"/>
          <w:bCs/>
        </w:rPr>
        <w:t>lla</w:t>
      </w:r>
      <w:r w:rsidR="00E13158">
        <w:rPr>
          <w:b w:val="0"/>
          <w:bCs/>
        </w:rPr>
        <w:t xml:space="preserve"> tai elinkauti</w:t>
      </w:r>
      <w:r w:rsidR="00613F75">
        <w:rPr>
          <w:b w:val="0"/>
          <w:bCs/>
        </w:rPr>
        <w:t>sella</w:t>
      </w:r>
      <w:r w:rsidR="00E13158">
        <w:rPr>
          <w:b w:val="0"/>
          <w:bCs/>
        </w:rPr>
        <w:t xml:space="preserve"> vankeusrangaistu</w:t>
      </w:r>
      <w:r w:rsidR="00613F75">
        <w:rPr>
          <w:b w:val="0"/>
          <w:bCs/>
        </w:rPr>
        <w:t>ksella</w:t>
      </w:r>
      <w:r w:rsidR="00E13158">
        <w:rPr>
          <w:b w:val="0"/>
          <w:bCs/>
        </w:rPr>
        <w:t xml:space="preserve"> ja kie</w:t>
      </w:r>
      <w:r w:rsidR="00613F75">
        <w:rPr>
          <w:b w:val="0"/>
          <w:bCs/>
        </w:rPr>
        <w:t>l</w:t>
      </w:r>
      <w:r w:rsidR="005D3C1A">
        <w:rPr>
          <w:b w:val="0"/>
          <w:bCs/>
        </w:rPr>
        <w:t>l</w:t>
      </w:r>
      <w:r w:rsidR="00613F75">
        <w:rPr>
          <w:b w:val="0"/>
          <w:bCs/>
        </w:rPr>
        <w:t>olla</w:t>
      </w:r>
      <w:r w:rsidR="00E13158" w:rsidRPr="00ED7623">
        <w:rPr>
          <w:b w:val="0"/>
          <w:bCs/>
        </w:rPr>
        <w:t xml:space="preserve"> toimia tietyissä tehtävissä tai harjoittaa tiettyä toimintaa kymmenestä viiteentoista vuoden ajan</w:t>
      </w:r>
      <w:r w:rsidR="00E13158">
        <w:rPr>
          <w:b w:val="0"/>
          <w:bCs/>
        </w:rPr>
        <w:t xml:space="preserve">. Rangaistukseen </w:t>
      </w:r>
      <w:r w:rsidR="00E13158" w:rsidRPr="00ED7623">
        <w:rPr>
          <w:b w:val="0"/>
          <w:bCs/>
        </w:rPr>
        <w:t>voi liittyä omaisuuden takavarikointi</w:t>
      </w:r>
      <w:r w:rsidR="0016443D" w:rsidRPr="00E13158">
        <w:rPr>
          <w:b w:val="0"/>
          <w:bCs/>
        </w:rPr>
        <w:t>.</w:t>
      </w:r>
      <w:r w:rsidR="0016443D" w:rsidRPr="00E13158">
        <w:rPr>
          <w:rStyle w:val="FootnoteReference"/>
          <w:b w:val="0"/>
          <w:bCs/>
        </w:rPr>
        <w:footnoteReference w:id="63"/>
      </w:r>
      <w:r w:rsidR="00CC2B38" w:rsidRPr="00E13158">
        <w:rPr>
          <w:b w:val="0"/>
          <w:bCs/>
        </w:rPr>
        <w:t xml:space="preserve"> </w:t>
      </w:r>
      <w:r w:rsidR="00E13158">
        <w:rPr>
          <w:b w:val="0"/>
          <w:bCs/>
        </w:rPr>
        <w:t xml:space="preserve"> </w:t>
      </w:r>
    </w:p>
    <w:p w14:paraId="55B8E06D" w14:textId="1256A8BD" w:rsidR="000D0A2B" w:rsidRDefault="00535A63" w:rsidP="00535A63">
      <w:pPr>
        <w:pStyle w:val="Numeroimatonotsikko"/>
        <w:numPr>
          <w:ilvl w:val="0"/>
          <w:numId w:val="41"/>
        </w:numPr>
        <w:spacing w:before="160" w:after="160" w:line="260" w:lineRule="exact"/>
        <w:rPr>
          <w:b w:val="0"/>
          <w:bCs/>
        </w:rPr>
      </w:pPr>
      <w:r>
        <w:rPr>
          <w:b w:val="0"/>
          <w:bCs/>
        </w:rPr>
        <w:t xml:space="preserve">Rikoslain </w:t>
      </w:r>
      <w:r w:rsidR="00CC2B38" w:rsidRPr="00CC2B38">
        <w:rPr>
          <w:b w:val="0"/>
          <w:bCs/>
        </w:rPr>
        <w:t xml:space="preserve">111-2 </w:t>
      </w:r>
      <w:r w:rsidR="008D2111" w:rsidRPr="00F52459">
        <w:rPr>
          <w:b w:val="0"/>
        </w:rPr>
        <w:t>§</w:t>
      </w:r>
      <w:r w:rsidR="008D2111">
        <w:rPr>
          <w:b w:val="0"/>
        </w:rPr>
        <w:t xml:space="preserve">:n </w:t>
      </w:r>
      <w:r w:rsidR="00CC2B38">
        <w:rPr>
          <w:b w:val="0"/>
          <w:bCs/>
        </w:rPr>
        <w:t>r</w:t>
      </w:r>
      <w:r w:rsidR="00CC2B38" w:rsidRPr="00ED7623">
        <w:rPr>
          <w:b w:val="0"/>
          <w:bCs/>
        </w:rPr>
        <w:t>angaistuksena on 10–12 vuoden vankeusrangaistus ja kielto toimia tietyissä tehtävissä tai harjoittaa tiettyä toimintaa kymmenestä viiteentoista vuoden ajan</w:t>
      </w:r>
      <w:r w:rsidR="00E13158">
        <w:rPr>
          <w:b w:val="0"/>
          <w:bCs/>
        </w:rPr>
        <w:t>.</w:t>
      </w:r>
      <w:r w:rsidR="00CC2B38" w:rsidRPr="00ED7623">
        <w:rPr>
          <w:b w:val="0"/>
          <w:bCs/>
        </w:rPr>
        <w:t xml:space="preserve"> </w:t>
      </w:r>
      <w:r w:rsidR="00E13158">
        <w:rPr>
          <w:b w:val="0"/>
          <w:bCs/>
        </w:rPr>
        <w:t xml:space="preserve">Rangaistukseen </w:t>
      </w:r>
      <w:r w:rsidR="00E13158" w:rsidRPr="00ED7623">
        <w:rPr>
          <w:b w:val="0"/>
          <w:bCs/>
        </w:rPr>
        <w:t xml:space="preserve">voi liittyä </w:t>
      </w:r>
      <w:r w:rsidR="00CC2B38" w:rsidRPr="00ED7623">
        <w:rPr>
          <w:b w:val="0"/>
          <w:bCs/>
        </w:rPr>
        <w:t>omaisuuden takavarikointi.</w:t>
      </w:r>
      <w:r w:rsidR="00CC2B38">
        <w:rPr>
          <w:rStyle w:val="FootnoteReference"/>
          <w:b w:val="0"/>
          <w:bCs/>
        </w:rPr>
        <w:footnoteReference w:id="64"/>
      </w:r>
    </w:p>
    <w:p w14:paraId="5FCD56B8" w14:textId="2D0E6EF4" w:rsidR="00B56E4C" w:rsidRDefault="00330B91" w:rsidP="00B56E4C">
      <w:r w:rsidRPr="00BB2FF8">
        <w:rPr>
          <w:bCs/>
        </w:rPr>
        <w:t>Human Rights Watchin</w:t>
      </w:r>
      <w:r>
        <w:rPr>
          <w:bCs/>
        </w:rPr>
        <w:t xml:space="preserve"> (HRW)</w:t>
      </w:r>
      <w:r w:rsidRPr="00BB2FF8">
        <w:rPr>
          <w:bCs/>
        </w:rPr>
        <w:t xml:space="preserve"> joulukuussa 2024 päivätyn raportin kirjoitusajankohtana viranomaiset olivat aukaisseet noin 8 900 rikosjuttua 111-1</w:t>
      </w:r>
      <w:r w:rsidR="008D2111">
        <w:rPr>
          <w:b/>
        </w:rPr>
        <w:t xml:space="preserve"> </w:t>
      </w:r>
      <w:r w:rsidR="008D2111" w:rsidRPr="008D2111">
        <w:rPr>
          <w:bCs/>
        </w:rPr>
        <w:t>§:n</w:t>
      </w:r>
      <w:r w:rsidR="008D2111" w:rsidRPr="008D2111">
        <w:rPr>
          <w:b/>
        </w:rPr>
        <w:t xml:space="preserve"> </w:t>
      </w:r>
      <w:r w:rsidRPr="00BB2FF8">
        <w:rPr>
          <w:bCs/>
        </w:rPr>
        <w:t>perusteella</w:t>
      </w:r>
      <w:r>
        <w:rPr>
          <w:bCs/>
        </w:rPr>
        <w:t>.</w:t>
      </w:r>
      <w:r>
        <w:rPr>
          <w:rStyle w:val="FootnoteReference"/>
          <w:bCs/>
        </w:rPr>
        <w:footnoteReference w:id="65"/>
      </w:r>
      <w:r>
        <w:rPr>
          <w:bCs/>
        </w:rPr>
        <w:t xml:space="preserve"> </w:t>
      </w:r>
      <w:r w:rsidRPr="00CA695B">
        <w:rPr>
          <w:bCs/>
        </w:rPr>
        <w:t xml:space="preserve">ZMINA-järjestön </w:t>
      </w:r>
      <w:r>
        <w:rPr>
          <w:bCs/>
        </w:rPr>
        <w:t>mukaan 111-1</w:t>
      </w:r>
      <w:r w:rsidR="008D2111">
        <w:rPr>
          <w:bCs/>
        </w:rPr>
        <w:t xml:space="preserve"> </w:t>
      </w:r>
      <w:r w:rsidR="008D2111" w:rsidRPr="008D2111">
        <w:rPr>
          <w:bCs/>
        </w:rPr>
        <w:t>§:n</w:t>
      </w:r>
      <w:r>
        <w:rPr>
          <w:bCs/>
        </w:rPr>
        <w:t xml:space="preserve"> </w:t>
      </w:r>
      <w:r w:rsidRPr="00CA695B">
        <w:rPr>
          <w:bCs/>
        </w:rPr>
        <w:t xml:space="preserve">perusteella </w:t>
      </w:r>
      <w:r>
        <w:rPr>
          <w:bCs/>
        </w:rPr>
        <w:t xml:space="preserve">oli </w:t>
      </w:r>
      <w:r w:rsidRPr="00CA695B">
        <w:rPr>
          <w:bCs/>
        </w:rPr>
        <w:t>15.6.2024 mennessä annettu</w:t>
      </w:r>
      <w:r>
        <w:rPr>
          <w:bCs/>
        </w:rPr>
        <w:t xml:space="preserve"> 1 442 tuomiota</w:t>
      </w:r>
      <w:r w:rsidR="00196EEF">
        <w:rPr>
          <w:bCs/>
        </w:rPr>
        <w:t>, vapauttavia tuomioita oli kaksi, joista toinen kumottiin.</w:t>
      </w:r>
      <w:r w:rsidR="00196EEF">
        <w:rPr>
          <w:rStyle w:val="FootnoteReference"/>
          <w:bCs/>
        </w:rPr>
        <w:footnoteReference w:id="66"/>
      </w:r>
      <w:r w:rsidR="00196EEF">
        <w:rPr>
          <w:bCs/>
        </w:rPr>
        <w:t xml:space="preserve"> </w:t>
      </w:r>
      <w:r w:rsidR="00196EEF" w:rsidRPr="00C44F5A">
        <w:rPr>
          <w:bCs/>
        </w:rPr>
        <w:t xml:space="preserve">Syyskuuhun </w:t>
      </w:r>
      <w:r w:rsidR="00BB2FF8" w:rsidRPr="00C44F5A">
        <w:rPr>
          <w:bCs/>
        </w:rPr>
        <w:t>2024 mennessä</w:t>
      </w:r>
      <w:r w:rsidRPr="00A216BC">
        <w:rPr>
          <w:bCs/>
          <w:color w:val="FF0000"/>
        </w:rPr>
        <w:t xml:space="preserve"> </w:t>
      </w:r>
      <w:r>
        <w:rPr>
          <w:bCs/>
        </w:rPr>
        <w:t>tuomioita oli</w:t>
      </w:r>
      <w:r w:rsidR="008269C0">
        <w:rPr>
          <w:b/>
          <w:bCs/>
        </w:rPr>
        <w:t xml:space="preserve"> </w:t>
      </w:r>
      <w:r w:rsidR="005D2320" w:rsidRPr="005D2320">
        <w:rPr>
          <w:bCs/>
        </w:rPr>
        <w:t>1</w:t>
      </w:r>
      <w:r>
        <w:rPr>
          <w:b/>
          <w:bCs/>
        </w:rPr>
        <w:t> </w:t>
      </w:r>
      <w:r w:rsidR="008269C0" w:rsidRPr="003344C9">
        <w:t>948</w:t>
      </w:r>
      <w:r>
        <w:t xml:space="preserve">, </w:t>
      </w:r>
      <w:r>
        <w:rPr>
          <w:bCs/>
        </w:rPr>
        <w:t>v</w:t>
      </w:r>
      <w:r w:rsidR="00592FA1" w:rsidRPr="00457F88">
        <w:rPr>
          <w:bCs/>
        </w:rPr>
        <w:t xml:space="preserve">apauttavia tuomioita oli </w:t>
      </w:r>
      <w:r w:rsidR="00196EEF">
        <w:rPr>
          <w:bCs/>
        </w:rPr>
        <w:t>kuusi</w:t>
      </w:r>
      <w:r>
        <w:rPr>
          <w:bCs/>
        </w:rPr>
        <w:t>.</w:t>
      </w:r>
      <w:r>
        <w:rPr>
          <w:rStyle w:val="FootnoteReference"/>
          <w:bCs/>
        </w:rPr>
        <w:footnoteReference w:id="67"/>
      </w:r>
      <w:r w:rsidR="0002531B">
        <w:rPr>
          <w:bCs/>
        </w:rPr>
        <w:t xml:space="preserve"> </w:t>
      </w:r>
      <w:r w:rsidR="00FE0CD0">
        <w:rPr>
          <w:bCs/>
        </w:rPr>
        <w:t>Tuomioista tehdyn analyysin mukaan y</w:t>
      </w:r>
      <w:r w:rsidR="00B56E4C" w:rsidRPr="006D0D54">
        <w:rPr>
          <w:bCs/>
        </w:rPr>
        <w:t>hteistoiminnasta vihollisen kanssa annetuissa tuomioissa annetaan langettava tuomio yli 99 %:ssa tapauksista.</w:t>
      </w:r>
      <w:r w:rsidR="00B56E4C">
        <w:rPr>
          <w:rStyle w:val="FootnoteReference"/>
          <w:bCs/>
        </w:rPr>
        <w:footnoteReference w:id="68"/>
      </w:r>
      <w:r w:rsidR="00B56E4C">
        <w:rPr>
          <w:b/>
          <w:bCs/>
        </w:rPr>
        <w:t xml:space="preserve"> </w:t>
      </w:r>
      <w:r w:rsidR="00B56E4C">
        <w:rPr>
          <w:bCs/>
        </w:rPr>
        <w:t xml:space="preserve"> </w:t>
      </w:r>
      <w:proofErr w:type="spellStart"/>
      <w:r w:rsidR="001A43F3" w:rsidRPr="001A43F3">
        <w:t>OHCHR:n</w:t>
      </w:r>
      <w:proofErr w:type="spellEnd"/>
      <w:r w:rsidR="001A43F3" w:rsidRPr="001A43F3">
        <w:t xml:space="preserve"> </w:t>
      </w:r>
      <w:r w:rsidR="001A43F3">
        <w:t xml:space="preserve">Ukrainan </w:t>
      </w:r>
      <w:r w:rsidR="00094D02">
        <w:t xml:space="preserve">ihmisoikeustilannetta </w:t>
      </w:r>
      <w:r w:rsidR="001A43F3">
        <w:t>ajanjaksolla</w:t>
      </w:r>
      <w:r w:rsidR="00094D02">
        <w:t xml:space="preserve"> </w:t>
      </w:r>
      <w:r w:rsidR="001A43F3">
        <w:t>1.6.2024–3</w:t>
      </w:r>
      <w:r w:rsidR="00211659">
        <w:t>1</w:t>
      </w:r>
      <w:r w:rsidR="001A43F3">
        <w:t xml:space="preserve">.8.2024 </w:t>
      </w:r>
      <w:r w:rsidR="001A43F3" w:rsidRPr="001A43F3">
        <w:t xml:space="preserve">käsittelevässä raportissa todetaan </w:t>
      </w:r>
      <w:r w:rsidR="001A43F3">
        <w:t xml:space="preserve">Ukrainan pääsyyttäjänviraston avaamien </w:t>
      </w:r>
      <w:r w:rsidR="001A43F3" w:rsidRPr="001A43F3">
        <w:t>yhteistoimintaa vihollisen kanssa k</w:t>
      </w:r>
      <w:r w:rsidR="001A43F3">
        <w:t xml:space="preserve">äsittelevien rikosjuttujen vähentyneen raportointijaksolla. </w:t>
      </w:r>
      <w:r w:rsidR="001A43F3" w:rsidRPr="001A43F3">
        <w:t>Määrän kerrotaan vähentyneen seurauksena pääsyyttäjän 15</w:t>
      </w:r>
      <w:r w:rsidR="005C50E5">
        <w:t>.</w:t>
      </w:r>
      <w:r w:rsidR="001A43F3" w:rsidRPr="001A43F3">
        <w:t xml:space="preserve"> toukokuuta antamasta </w:t>
      </w:r>
      <w:r w:rsidR="001A43F3">
        <w:t xml:space="preserve">sisäisestä </w:t>
      </w:r>
      <w:r w:rsidR="001A43F3" w:rsidRPr="001A43F3">
        <w:t xml:space="preserve">ohjeesta varmistaa </w:t>
      </w:r>
      <w:r w:rsidR="001A43F3">
        <w:t xml:space="preserve">kansainvälisen humanitaarisen oikeuden noudattaminen </w:t>
      </w:r>
      <w:r w:rsidR="001A43F3" w:rsidRPr="001A43F3">
        <w:t>yhteistoimin</w:t>
      </w:r>
      <w:r w:rsidR="001A43F3">
        <w:t>nasta vihollisen kanssa epäiltyjen henkilöiden syytteeseenpanossa.</w:t>
      </w:r>
      <w:r w:rsidR="000F6524">
        <w:rPr>
          <w:rStyle w:val="FootnoteReference"/>
        </w:rPr>
        <w:footnoteReference w:id="69"/>
      </w:r>
    </w:p>
    <w:p w14:paraId="3CFBC1CE" w14:textId="725985C7" w:rsidR="008269C0" w:rsidRPr="00B56E4C" w:rsidRDefault="000751A7" w:rsidP="00CA695B">
      <w:pPr>
        <w:rPr>
          <w:b/>
          <w:bCs/>
        </w:rPr>
      </w:pPr>
      <w:r w:rsidRPr="00CA695B">
        <w:rPr>
          <w:bCs/>
        </w:rPr>
        <w:t>KHPG-ihmisoikeusjärjestö analysoi helmikuussa 2025 julkaistussa artikkel</w:t>
      </w:r>
      <w:r w:rsidR="00164DE6" w:rsidRPr="00CA695B">
        <w:rPr>
          <w:bCs/>
        </w:rPr>
        <w:t xml:space="preserve">issa </w:t>
      </w:r>
      <w:r w:rsidRPr="00CA695B">
        <w:rPr>
          <w:bCs/>
        </w:rPr>
        <w:t>111-1 §:ää koskev</w:t>
      </w:r>
      <w:r w:rsidR="00164DE6" w:rsidRPr="00CA695B">
        <w:rPr>
          <w:bCs/>
        </w:rPr>
        <w:t xml:space="preserve">ia </w:t>
      </w:r>
      <w:r w:rsidRPr="00CA695B">
        <w:rPr>
          <w:bCs/>
        </w:rPr>
        <w:t>oikeuden päätö</w:t>
      </w:r>
      <w:r w:rsidR="00164DE6" w:rsidRPr="00CA695B">
        <w:rPr>
          <w:bCs/>
        </w:rPr>
        <w:t>ksi</w:t>
      </w:r>
      <w:r w:rsidR="00FE0CD0">
        <w:rPr>
          <w:bCs/>
        </w:rPr>
        <w:t xml:space="preserve">ä </w:t>
      </w:r>
      <w:r w:rsidR="003E7A2F" w:rsidRPr="00CA695B">
        <w:rPr>
          <w:bCs/>
        </w:rPr>
        <w:t>ajanjaksolta 4.4.2022–1.12.2024.</w:t>
      </w:r>
      <w:r w:rsidR="00164DE6" w:rsidRPr="00CA695B">
        <w:rPr>
          <w:bCs/>
        </w:rPr>
        <w:t xml:space="preserve"> </w:t>
      </w:r>
      <w:r w:rsidR="00730B47" w:rsidRPr="00CA695B">
        <w:rPr>
          <w:bCs/>
        </w:rPr>
        <w:t>111-1 §:</w:t>
      </w:r>
      <w:r w:rsidR="00730B47">
        <w:rPr>
          <w:bCs/>
        </w:rPr>
        <w:t>n</w:t>
      </w:r>
      <w:r w:rsidR="008D2111">
        <w:rPr>
          <w:bCs/>
        </w:rPr>
        <w:t xml:space="preserve"> </w:t>
      </w:r>
      <w:r w:rsidR="00330B91">
        <w:rPr>
          <w:bCs/>
        </w:rPr>
        <w:t>1</w:t>
      </w:r>
      <w:r w:rsidR="00730B47">
        <w:rPr>
          <w:bCs/>
        </w:rPr>
        <w:t>.</w:t>
      </w:r>
      <w:r w:rsidR="00330B91">
        <w:rPr>
          <w:bCs/>
        </w:rPr>
        <w:t xml:space="preserve"> </w:t>
      </w:r>
      <w:r w:rsidR="00FE4A3E">
        <w:rPr>
          <w:bCs/>
        </w:rPr>
        <w:t xml:space="preserve">momentin </w:t>
      </w:r>
      <w:r w:rsidRPr="00CA695B">
        <w:rPr>
          <w:bCs/>
        </w:rPr>
        <w:t xml:space="preserve">perusteella annettujen tuomioiden määrä on </w:t>
      </w:r>
      <w:r w:rsidR="008B4282" w:rsidRPr="00CA695B">
        <w:rPr>
          <w:bCs/>
        </w:rPr>
        <w:t xml:space="preserve">analysoitujen tapausten joukossa </w:t>
      </w:r>
      <w:r w:rsidRPr="00CA695B">
        <w:rPr>
          <w:bCs/>
        </w:rPr>
        <w:t>suurin, 549 tuomiota</w:t>
      </w:r>
      <w:r w:rsidR="00584D45">
        <w:rPr>
          <w:bCs/>
        </w:rPr>
        <w:t>.</w:t>
      </w:r>
      <w:r w:rsidR="0088440E" w:rsidRPr="00CA695B">
        <w:rPr>
          <w:rStyle w:val="FootnoteReference"/>
          <w:bCs/>
        </w:rPr>
        <w:footnoteReference w:id="70"/>
      </w:r>
      <w:r w:rsidR="0088440E" w:rsidRPr="00CA695B">
        <w:rPr>
          <w:bCs/>
        </w:rPr>
        <w:t xml:space="preserve"> </w:t>
      </w:r>
      <w:r w:rsidR="00730B47">
        <w:rPr>
          <w:bCs/>
        </w:rPr>
        <w:lastRenderedPageBreak/>
        <w:t xml:space="preserve">Myös </w:t>
      </w:r>
      <w:r w:rsidR="0088440E" w:rsidRPr="00CA695B">
        <w:rPr>
          <w:bCs/>
        </w:rPr>
        <w:t>ZMINA-järjestön julkaisema</w:t>
      </w:r>
      <w:r w:rsidR="00730B47">
        <w:rPr>
          <w:bCs/>
        </w:rPr>
        <w:t>n</w:t>
      </w:r>
      <w:r w:rsidR="0088440E" w:rsidRPr="00CA695B">
        <w:rPr>
          <w:bCs/>
        </w:rPr>
        <w:t xml:space="preserve"> raporti</w:t>
      </w:r>
      <w:r w:rsidR="00330B91">
        <w:rPr>
          <w:bCs/>
        </w:rPr>
        <w:t xml:space="preserve">n mukaan </w:t>
      </w:r>
      <w:r w:rsidR="00DC73A7" w:rsidRPr="00CA695B">
        <w:rPr>
          <w:bCs/>
        </w:rPr>
        <w:t>111-1</w:t>
      </w:r>
      <w:r w:rsidR="00330B91">
        <w:rPr>
          <w:bCs/>
        </w:rPr>
        <w:t xml:space="preserve"> </w:t>
      </w:r>
      <w:r w:rsidR="008D2111" w:rsidRPr="008D2111">
        <w:rPr>
          <w:bCs/>
        </w:rPr>
        <w:t>§:n</w:t>
      </w:r>
      <w:r w:rsidR="008D2111">
        <w:rPr>
          <w:b/>
        </w:rPr>
        <w:t xml:space="preserve"> </w:t>
      </w:r>
      <w:r w:rsidR="00330B91">
        <w:rPr>
          <w:bCs/>
        </w:rPr>
        <w:t>1</w:t>
      </w:r>
      <w:r w:rsidR="00730B47">
        <w:rPr>
          <w:bCs/>
        </w:rPr>
        <w:t>.</w:t>
      </w:r>
      <w:r w:rsidR="00FE4A3E">
        <w:rPr>
          <w:bCs/>
        </w:rPr>
        <w:t xml:space="preserve"> momentin</w:t>
      </w:r>
      <w:r w:rsidR="00330B91">
        <w:rPr>
          <w:bCs/>
        </w:rPr>
        <w:t xml:space="preserve"> </w:t>
      </w:r>
      <w:r w:rsidR="0088440E" w:rsidRPr="00CA695B">
        <w:rPr>
          <w:bCs/>
        </w:rPr>
        <w:t xml:space="preserve">perusteella oli </w:t>
      </w:r>
      <w:r w:rsidR="00DC73A7" w:rsidRPr="00CA695B">
        <w:rPr>
          <w:bCs/>
        </w:rPr>
        <w:t xml:space="preserve">annettu </w:t>
      </w:r>
      <w:r w:rsidR="00576583">
        <w:rPr>
          <w:bCs/>
        </w:rPr>
        <w:t xml:space="preserve">eniten tuomioita, </w:t>
      </w:r>
      <w:r w:rsidR="0088440E" w:rsidRPr="00CA695B">
        <w:rPr>
          <w:bCs/>
        </w:rPr>
        <w:t xml:space="preserve">484 </w:t>
      </w:r>
      <w:r w:rsidR="00576583">
        <w:rPr>
          <w:bCs/>
        </w:rPr>
        <w:t>kappaletta</w:t>
      </w:r>
      <w:r w:rsidR="00FA72AC">
        <w:rPr>
          <w:bCs/>
        </w:rPr>
        <w:t>.</w:t>
      </w:r>
      <w:r w:rsidR="003E25D6">
        <w:rPr>
          <w:rStyle w:val="FootnoteReference"/>
          <w:bCs/>
        </w:rPr>
        <w:footnoteReference w:id="71"/>
      </w:r>
      <w:r w:rsidR="008269C0">
        <w:rPr>
          <w:bCs/>
        </w:rPr>
        <w:t xml:space="preserve"> </w:t>
      </w:r>
      <w:r w:rsidR="00DC73A7" w:rsidRPr="00CA695B">
        <w:rPr>
          <w:bCs/>
        </w:rPr>
        <w:t xml:space="preserve">Molempien analyysien </w:t>
      </w:r>
      <w:r w:rsidR="00577C23" w:rsidRPr="00CA695B">
        <w:rPr>
          <w:bCs/>
        </w:rPr>
        <w:t xml:space="preserve">mukaan </w:t>
      </w:r>
      <w:r w:rsidR="008B088C">
        <w:rPr>
          <w:bCs/>
        </w:rPr>
        <w:t xml:space="preserve">suuri </w:t>
      </w:r>
      <w:r w:rsidR="00577C23" w:rsidRPr="00CA695B">
        <w:rPr>
          <w:bCs/>
        </w:rPr>
        <w:t xml:space="preserve">osa </w:t>
      </w:r>
      <w:r w:rsidR="00577C23" w:rsidRPr="003E7A2F">
        <w:rPr>
          <w:bCs/>
        </w:rPr>
        <w:t xml:space="preserve">111-1 </w:t>
      </w:r>
      <w:r w:rsidR="008D2111" w:rsidRPr="008D2111">
        <w:rPr>
          <w:bCs/>
        </w:rPr>
        <w:t>§:n</w:t>
      </w:r>
      <w:r w:rsidR="008D2111">
        <w:rPr>
          <w:b/>
        </w:rPr>
        <w:t xml:space="preserve"> </w:t>
      </w:r>
      <w:r w:rsidR="00FE4A3E">
        <w:rPr>
          <w:bCs/>
        </w:rPr>
        <w:t>1</w:t>
      </w:r>
      <w:r w:rsidR="005F3012">
        <w:rPr>
          <w:bCs/>
        </w:rPr>
        <w:t>.</w:t>
      </w:r>
      <w:r w:rsidR="00FE4A3E">
        <w:rPr>
          <w:bCs/>
        </w:rPr>
        <w:t xml:space="preserve"> momentin</w:t>
      </w:r>
      <w:r w:rsidR="00577C23" w:rsidRPr="003E7A2F">
        <w:rPr>
          <w:bCs/>
        </w:rPr>
        <w:t xml:space="preserve"> perusteella annetuista tuomioista liittyi Ukrainassa kielletyn sosiaalisen median </w:t>
      </w:r>
      <w:proofErr w:type="spellStart"/>
      <w:r w:rsidR="00577C23" w:rsidRPr="003E7A2F">
        <w:rPr>
          <w:bCs/>
        </w:rPr>
        <w:t>Odnoklassiniki</w:t>
      </w:r>
      <w:proofErr w:type="spellEnd"/>
      <w:r w:rsidR="00577C23" w:rsidRPr="003E7A2F">
        <w:rPr>
          <w:bCs/>
        </w:rPr>
        <w:t>-palveluun</w:t>
      </w:r>
      <w:r w:rsidR="00CB288C">
        <w:rPr>
          <w:b/>
          <w:bCs/>
        </w:rPr>
        <w:t>:</w:t>
      </w:r>
      <w:r w:rsidR="00577C23" w:rsidRPr="003E7A2F">
        <w:rPr>
          <w:bCs/>
        </w:rPr>
        <w:t xml:space="preserve"> KHPG-järjestön analysoimista tapauksista 211 päätöstä tapauksesta koski </w:t>
      </w:r>
      <w:proofErr w:type="spellStart"/>
      <w:r w:rsidR="00577C23" w:rsidRPr="003E7A2F">
        <w:rPr>
          <w:bCs/>
        </w:rPr>
        <w:t>Odnoklassniki</w:t>
      </w:r>
      <w:proofErr w:type="spellEnd"/>
      <w:r w:rsidR="00577C23" w:rsidRPr="003E7A2F">
        <w:rPr>
          <w:bCs/>
        </w:rPr>
        <w:t xml:space="preserve">-palvelussa jaettuja julkaisuja, ZMINA-järjestön raportin mukaan </w:t>
      </w:r>
      <w:r w:rsidR="00577C23" w:rsidRPr="00CA695B">
        <w:rPr>
          <w:bCs/>
        </w:rPr>
        <w:t xml:space="preserve">90 </w:t>
      </w:r>
      <w:r w:rsidR="00DC73A7" w:rsidRPr="00CA695B">
        <w:rPr>
          <w:bCs/>
        </w:rPr>
        <w:t xml:space="preserve">% </w:t>
      </w:r>
      <w:r w:rsidR="00164DE6" w:rsidRPr="00CA695B">
        <w:rPr>
          <w:bCs/>
        </w:rPr>
        <w:t>t</w:t>
      </w:r>
      <w:r w:rsidR="00577C23" w:rsidRPr="00CA695B">
        <w:rPr>
          <w:bCs/>
        </w:rPr>
        <w:t>uomi</w:t>
      </w:r>
      <w:r w:rsidR="00DC73A7" w:rsidRPr="00CA695B">
        <w:rPr>
          <w:bCs/>
        </w:rPr>
        <w:t>ois</w:t>
      </w:r>
      <w:r w:rsidR="00577C23" w:rsidRPr="00CA695B">
        <w:rPr>
          <w:bCs/>
        </w:rPr>
        <w:t>t</w:t>
      </w:r>
      <w:r w:rsidR="00164DE6" w:rsidRPr="00CA695B">
        <w:rPr>
          <w:bCs/>
        </w:rPr>
        <w:t>a, jotka liittyivät hyökkäyksen kieltämiseen tai vihollisen suulliseen tukemiseen,</w:t>
      </w:r>
      <w:r w:rsidR="00577C23" w:rsidRPr="00CA695B">
        <w:rPr>
          <w:bCs/>
        </w:rPr>
        <w:t xml:space="preserve"> </w:t>
      </w:r>
      <w:r w:rsidR="00164DE6" w:rsidRPr="00CA695B">
        <w:rPr>
          <w:bCs/>
        </w:rPr>
        <w:t>tapahtui</w:t>
      </w:r>
      <w:r w:rsidR="00577C23" w:rsidRPr="00CA695B">
        <w:rPr>
          <w:bCs/>
        </w:rPr>
        <w:t xml:space="preserve"> </w:t>
      </w:r>
      <w:proofErr w:type="spellStart"/>
      <w:r w:rsidR="00164DE6" w:rsidRPr="00CA695B">
        <w:rPr>
          <w:bCs/>
        </w:rPr>
        <w:t>Odnoklassniki</w:t>
      </w:r>
      <w:proofErr w:type="spellEnd"/>
      <w:r w:rsidR="00164DE6" w:rsidRPr="00CA695B">
        <w:rPr>
          <w:bCs/>
        </w:rPr>
        <w:t>-palvelussa</w:t>
      </w:r>
      <w:r w:rsidR="00577C23" w:rsidRPr="00CA695B">
        <w:rPr>
          <w:bCs/>
        </w:rPr>
        <w:t>. Molempien analyysien perusteella tuomioita oli jaettu myös mui</w:t>
      </w:r>
      <w:r w:rsidR="00DC73A7" w:rsidRPr="00CA695B">
        <w:rPr>
          <w:bCs/>
        </w:rPr>
        <w:t xml:space="preserve">lla sosiaalisen median </w:t>
      </w:r>
      <w:r w:rsidR="00164DE6" w:rsidRPr="00CA695B">
        <w:rPr>
          <w:bCs/>
        </w:rPr>
        <w:t>alustoilla</w:t>
      </w:r>
      <w:r w:rsidR="00577C23" w:rsidRPr="00CA695B">
        <w:rPr>
          <w:bCs/>
        </w:rPr>
        <w:t xml:space="preserve">, kuten </w:t>
      </w:r>
      <w:r w:rsidR="00DC73A7" w:rsidRPr="00CA695B">
        <w:rPr>
          <w:bCs/>
        </w:rPr>
        <w:t>Facebooki</w:t>
      </w:r>
      <w:r w:rsidR="00164DE6" w:rsidRPr="00CA695B">
        <w:rPr>
          <w:bCs/>
        </w:rPr>
        <w:t>ssa</w:t>
      </w:r>
      <w:r w:rsidR="00DC73A7" w:rsidRPr="00CA695B">
        <w:rPr>
          <w:bCs/>
        </w:rPr>
        <w:t xml:space="preserve">, </w:t>
      </w:r>
      <w:proofErr w:type="spellStart"/>
      <w:r w:rsidR="00DC73A7" w:rsidRPr="00CA695B">
        <w:rPr>
          <w:bCs/>
        </w:rPr>
        <w:t>VKontakte</w:t>
      </w:r>
      <w:r w:rsidR="00164DE6" w:rsidRPr="00CA695B">
        <w:rPr>
          <w:bCs/>
        </w:rPr>
        <w:t>ssa</w:t>
      </w:r>
      <w:proofErr w:type="spellEnd"/>
      <w:r w:rsidR="00164DE6" w:rsidRPr="00CA695B">
        <w:rPr>
          <w:bCs/>
        </w:rPr>
        <w:t xml:space="preserve"> ja</w:t>
      </w:r>
      <w:r w:rsidR="00DC73A7" w:rsidRPr="00CA695B">
        <w:rPr>
          <w:bCs/>
        </w:rPr>
        <w:t xml:space="preserve"> </w:t>
      </w:r>
      <w:proofErr w:type="spellStart"/>
      <w:r w:rsidR="00DC73A7" w:rsidRPr="00CA695B">
        <w:rPr>
          <w:bCs/>
        </w:rPr>
        <w:t>Telegrami</w:t>
      </w:r>
      <w:r w:rsidR="00164DE6" w:rsidRPr="00CA695B">
        <w:rPr>
          <w:bCs/>
        </w:rPr>
        <w:t>ssa</w:t>
      </w:r>
      <w:proofErr w:type="spellEnd"/>
      <w:r w:rsidR="00164DE6" w:rsidRPr="00CA695B">
        <w:rPr>
          <w:bCs/>
        </w:rPr>
        <w:t xml:space="preserve"> tehdyistä teoista.</w:t>
      </w:r>
      <w:r w:rsidR="00DC73A7" w:rsidRPr="00CA695B">
        <w:rPr>
          <w:rStyle w:val="FootnoteReference"/>
          <w:bCs/>
        </w:rPr>
        <w:footnoteReference w:id="72"/>
      </w:r>
      <w:r w:rsidR="00CA695B">
        <w:rPr>
          <w:b/>
          <w:bCs/>
        </w:rPr>
        <w:t xml:space="preserve"> </w:t>
      </w:r>
    </w:p>
    <w:p w14:paraId="3EAAB3A4" w14:textId="6BAB7B0B" w:rsidR="00577C23" w:rsidRPr="00CA695B" w:rsidRDefault="003E25D6" w:rsidP="00CA695B">
      <w:pPr>
        <w:rPr>
          <w:bCs/>
        </w:rPr>
      </w:pPr>
      <w:r>
        <w:rPr>
          <w:bCs/>
        </w:rPr>
        <w:t>ZMINA-järjestön vuoden 2024 raportin mukaan 111-1</w:t>
      </w:r>
      <w:r w:rsidR="008D2111">
        <w:rPr>
          <w:bCs/>
        </w:rPr>
        <w:t xml:space="preserve"> </w:t>
      </w:r>
      <w:r w:rsidR="008D2111" w:rsidRPr="008D2111">
        <w:rPr>
          <w:bCs/>
        </w:rPr>
        <w:t>§:n</w:t>
      </w:r>
      <w:r>
        <w:rPr>
          <w:bCs/>
        </w:rPr>
        <w:t xml:space="preserve"> 1</w:t>
      </w:r>
      <w:r w:rsidR="005F3012">
        <w:rPr>
          <w:bCs/>
        </w:rPr>
        <w:t>.</w:t>
      </w:r>
      <w:r>
        <w:rPr>
          <w:bCs/>
        </w:rPr>
        <w:t xml:space="preserve"> </w:t>
      </w:r>
      <w:r w:rsidR="00FE4A3E">
        <w:rPr>
          <w:bCs/>
        </w:rPr>
        <w:t xml:space="preserve">momentin </w:t>
      </w:r>
      <w:r>
        <w:rPr>
          <w:bCs/>
        </w:rPr>
        <w:t xml:space="preserve">perusteella annetuissa tuomioissa on säilynyt ”taipumus” tuomita syytetty 10 vuoden kieltoon toimia </w:t>
      </w:r>
      <w:r w:rsidRPr="00CA695B">
        <w:rPr>
          <w:bCs/>
        </w:rPr>
        <w:t>valtion viranomaisissa, julkishallinnossa tai paikallisessa itsehallinnossa ja</w:t>
      </w:r>
      <w:r>
        <w:rPr>
          <w:bCs/>
        </w:rPr>
        <w:t xml:space="preserve"> </w:t>
      </w:r>
      <w:r w:rsidRPr="00CA695B">
        <w:rPr>
          <w:bCs/>
        </w:rPr>
        <w:t>julkisten palvelujen tarjoamise</w:t>
      </w:r>
      <w:r>
        <w:rPr>
          <w:bCs/>
        </w:rPr>
        <w:t>en liittyvässä toiminnassa. Ainakin 20 tuomiossa oli kuitenkin määrätty pidempi tuomio.</w:t>
      </w:r>
      <w:r>
        <w:rPr>
          <w:rStyle w:val="FootnoteReference"/>
          <w:bCs/>
        </w:rPr>
        <w:footnoteReference w:id="73"/>
      </w:r>
      <w:r>
        <w:rPr>
          <w:bCs/>
        </w:rPr>
        <w:t xml:space="preserve"> </w:t>
      </w:r>
      <w:r w:rsidR="00FE4A3E">
        <w:rPr>
          <w:bCs/>
        </w:rPr>
        <w:t xml:space="preserve">111-1 </w:t>
      </w:r>
      <w:r w:rsidR="00FE4A3E" w:rsidRPr="008D2111">
        <w:rPr>
          <w:bCs/>
        </w:rPr>
        <w:t>§:n</w:t>
      </w:r>
      <w:r>
        <w:rPr>
          <w:bCs/>
        </w:rPr>
        <w:t xml:space="preserve"> 1</w:t>
      </w:r>
      <w:r w:rsidR="005F3012">
        <w:rPr>
          <w:bCs/>
        </w:rPr>
        <w:t>.</w:t>
      </w:r>
      <w:r>
        <w:rPr>
          <w:bCs/>
        </w:rPr>
        <w:t xml:space="preserve"> </w:t>
      </w:r>
      <w:r w:rsidR="00FE4A3E">
        <w:rPr>
          <w:bCs/>
        </w:rPr>
        <w:t xml:space="preserve">momentin </w:t>
      </w:r>
      <w:r>
        <w:rPr>
          <w:bCs/>
        </w:rPr>
        <w:t xml:space="preserve">tapauksista 56 % käsiteltiin yksinkertaistetussa menettelyssä, jossa </w:t>
      </w:r>
      <w:r w:rsidRPr="00044515">
        <w:rPr>
          <w:bCs/>
        </w:rPr>
        <w:t xml:space="preserve">tuomioistuin käsittelee syytteen </w:t>
      </w:r>
      <w:r>
        <w:rPr>
          <w:bCs/>
        </w:rPr>
        <w:t xml:space="preserve">ilman asianosaisten läsnäoloa </w:t>
      </w:r>
      <w:r w:rsidRPr="00044515">
        <w:rPr>
          <w:bCs/>
        </w:rPr>
        <w:t xml:space="preserve">ilman oikeudenkäyntiä </w:t>
      </w:r>
      <w:r>
        <w:rPr>
          <w:bCs/>
        </w:rPr>
        <w:t xml:space="preserve">oikeuden istunnossa, </w:t>
      </w:r>
      <w:r w:rsidRPr="00044515">
        <w:rPr>
          <w:bCs/>
        </w:rPr>
        <w:t xml:space="preserve">jos syytetty ei kiistä tutkinnassa todettuja </w:t>
      </w:r>
      <w:r>
        <w:rPr>
          <w:bCs/>
        </w:rPr>
        <w:t>asianhaaroja</w:t>
      </w:r>
      <w:r w:rsidRPr="00044515">
        <w:rPr>
          <w:bCs/>
        </w:rPr>
        <w:t xml:space="preserve"> ja suostuu syyt</w:t>
      </w:r>
      <w:r>
        <w:rPr>
          <w:bCs/>
        </w:rPr>
        <w:t>teen käsittelyyn.</w:t>
      </w:r>
      <w:r>
        <w:rPr>
          <w:rStyle w:val="FootnoteReference"/>
          <w:bCs/>
        </w:rPr>
        <w:footnoteReference w:id="74"/>
      </w:r>
      <w:r>
        <w:rPr>
          <w:bCs/>
        </w:rPr>
        <w:t xml:space="preserve"> </w:t>
      </w:r>
    </w:p>
    <w:p w14:paraId="73303493" w14:textId="2C9C362E" w:rsidR="00CA586E" w:rsidRDefault="00DC73A7" w:rsidP="000751A7">
      <w:r>
        <w:t xml:space="preserve">KHPG-järjestön analyysin mukaan </w:t>
      </w:r>
      <w:r w:rsidR="00FE4A3E" w:rsidRPr="008602E7">
        <w:t xml:space="preserve">111-1 </w:t>
      </w:r>
      <w:r w:rsidR="00FE4A3E" w:rsidRPr="00B765DE">
        <w:rPr>
          <w:bCs/>
        </w:rPr>
        <w:t>§</w:t>
      </w:r>
      <w:r w:rsidR="00FE4A3E">
        <w:rPr>
          <w:bCs/>
        </w:rPr>
        <w:t>:n</w:t>
      </w:r>
      <w:r w:rsidR="00FE4A3E" w:rsidRPr="008602E7">
        <w:t xml:space="preserve"> </w:t>
      </w:r>
      <w:r w:rsidR="00FE4A3E">
        <w:t>1</w:t>
      </w:r>
      <w:r w:rsidR="005F3012">
        <w:t>.</w:t>
      </w:r>
      <w:r w:rsidR="00FE4A3E">
        <w:t xml:space="preserve"> momentin</w:t>
      </w:r>
      <w:r w:rsidR="0088440E">
        <w:t xml:space="preserve"> tapauksissa teot on tehty lähes aina julkisilla paikoilla tai internetissä. </w:t>
      </w:r>
      <w:r w:rsidR="000751A7">
        <w:t xml:space="preserve"> Tämän </w:t>
      </w:r>
      <w:r w:rsidR="00FE4A3E">
        <w:t>lainkohdan</w:t>
      </w:r>
      <w:r w:rsidR="000751A7">
        <w:t xml:space="preserve"> perusteella on tuomittu muun muassa henkilö, joka oli puhunut bussiasemalla kahden tuttunsa kanssa</w:t>
      </w:r>
      <w:r w:rsidR="00C04AD3">
        <w:t xml:space="preserve"> ja oikeuden päätöksen mukaan pyrkiäkseen vakuuttamaan muut omasta kannastaan </w:t>
      </w:r>
      <w:r w:rsidR="00EB7825">
        <w:t xml:space="preserve">oli </w:t>
      </w:r>
      <w:r w:rsidR="00C04AD3">
        <w:t>toistuvasti ja julkisesti ilmaissut kantansa Venäjän suvereniteetin laajenemisen oikeellisuudesta ja laillisuudesta Ukrainan alueelle ja hyväksynyt Venäjän presidentin toimet.</w:t>
      </w:r>
      <w:r w:rsidR="000751A7">
        <w:t xml:space="preserve"> Mies tuomittiin 10 vuoteen kieltoon</w:t>
      </w:r>
      <w:r w:rsidR="000751A7" w:rsidRPr="00EC54E6">
        <w:t xml:space="preserve"> </w:t>
      </w:r>
      <w:r w:rsidR="000751A7">
        <w:t xml:space="preserve">toimia </w:t>
      </w:r>
      <w:r w:rsidR="000751A7" w:rsidRPr="00EC54E6">
        <w:t xml:space="preserve">valtion- ja paikallishallinnon </w:t>
      </w:r>
      <w:r w:rsidR="000751A7">
        <w:t xml:space="preserve">tehtävissä. </w:t>
      </w:r>
      <w:r w:rsidR="000751A7" w:rsidRPr="00911A06">
        <w:t xml:space="preserve">Tämän kohdan perusteella tuomittiin myös </w:t>
      </w:r>
      <w:r w:rsidR="00CC4DD8">
        <w:t xml:space="preserve">Ukrainan </w:t>
      </w:r>
      <w:r w:rsidR="000751A7" w:rsidRPr="00911A06">
        <w:t>ortodoksi</w:t>
      </w:r>
      <w:r w:rsidR="00CC4DD8">
        <w:t xml:space="preserve">sen kirkon </w:t>
      </w:r>
      <w:r w:rsidR="000751A7" w:rsidRPr="00911A06">
        <w:t xml:space="preserve">pappi, </w:t>
      </w:r>
      <w:r w:rsidR="00CC4DD8">
        <w:t xml:space="preserve">joka oli kaatuneen sotilaan hautajaisissa muun muassa kieltänyt </w:t>
      </w:r>
      <w:proofErr w:type="spellStart"/>
      <w:r w:rsidR="00CC4DD8">
        <w:t>Donbasin</w:t>
      </w:r>
      <w:proofErr w:type="spellEnd"/>
      <w:r w:rsidR="00CC4DD8">
        <w:t xml:space="preserve"> ja Krimin olevan Ukrainan maita. Pappia </w:t>
      </w:r>
      <w:r w:rsidR="000751A7">
        <w:t>kiellettiin</w:t>
      </w:r>
      <w:r w:rsidR="000751A7" w:rsidRPr="00911A06">
        <w:t xml:space="preserve"> </w:t>
      </w:r>
      <w:r w:rsidR="000751A7">
        <w:t>t</w:t>
      </w:r>
      <w:r w:rsidR="000751A7" w:rsidRPr="00911A06">
        <w:t>oimimasta uskonnollisissa järjestöissä ja osallistumasta julki</w:t>
      </w:r>
      <w:r w:rsidR="004C211F">
        <w:t>sten</w:t>
      </w:r>
      <w:r w:rsidR="000751A7" w:rsidRPr="00911A06">
        <w:t xml:space="preserve"> pu</w:t>
      </w:r>
      <w:r w:rsidR="004C211F">
        <w:t>heiden pitämiseen</w:t>
      </w:r>
      <w:r w:rsidR="000751A7" w:rsidRPr="00911A06">
        <w:t xml:space="preserve"> liittyviin toimiin 12 vuoden ajan.</w:t>
      </w:r>
      <w:r w:rsidR="000751A7">
        <w:t xml:space="preserve"> </w:t>
      </w:r>
      <w:r w:rsidR="000751A7" w:rsidRPr="00911A06">
        <w:t xml:space="preserve">Artikkelin mukaan useat tapaukset liittyivät yksityisessä tilassa tuttujen ja </w:t>
      </w:r>
      <w:r w:rsidR="000751A7">
        <w:t>sukulaisten kanssa käytyihin keskusteluihin</w:t>
      </w:r>
      <w:r w:rsidR="00CA586E" w:rsidRPr="00CA586E">
        <w:rPr>
          <w:rStyle w:val="FootnoteReference"/>
        </w:rPr>
        <w:t xml:space="preserve"> </w:t>
      </w:r>
      <w:r w:rsidR="00CA586E">
        <w:rPr>
          <w:rStyle w:val="FootnoteReference"/>
        </w:rPr>
        <w:footnoteReference w:id="75"/>
      </w:r>
      <w:r w:rsidR="000751A7">
        <w:t xml:space="preserve"> </w:t>
      </w:r>
    </w:p>
    <w:p w14:paraId="5B343943" w14:textId="3E21D2F7" w:rsidR="00CA695B" w:rsidRPr="00CA695B" w:rsidRDefault="00481907" w:rsidP="000751A7">
      <w:pPr>
        <w:rPr>
          <w:bCs/>
        </w:rPr>
      </w:pPr>
      <w:r>
        <w:t>ZMINA-</w:t>
      </w:r>
      <w:r w:rsidR="00CA695B">
        <w:t>järjestön</w:t>
      </w:r>
      <w:r>
        <w:t xml:space="preserve"> </w:t>
      </w:r>
      <w:r w:rsidR="00CB288C">
        <w:t xml:space="preserve">vuonna 2023 </w:t>
      </w:r>
      <w:r>
        <w:t xml:space="preserve">laatiman raportin mukaan </w:t>
      </w:r>
      <w:r w:rsidR="00867899">
        <w:rPr>
          <w:bCs/>
        </w:rPr>
        <w:t xml:space="preserve">rikoslain </w:t>
      </w:r>
      <w:r w:rsidRPr="008602E7">
        <w:t xml:space="preserve">111-1 </w:t>
      </w:r>
      <w:r w:rsidRPr="00B765DE">
        <w:rPr>
          <w:bCs/>
        </w:rPr>
        <w:t>§</w:t>
      </w:r>
      <w:r>
        <w:rPr>
          <w:bCs/>
        </w:rPr>
        <w:t>:n</w:t>
      </w:r>
      <w:r w:rsidRPr="008602E7">
        <w:t xml:space="preserve"> </w:t>
      </w:r>
      <w:r w:rsidR="00FE4A3E">
        <w:t>1</w:t>
      </w:r>
      <w:r w:rsidR="005D694C">
        <w:t>.</w:t>
      </w:r>
      <w:r w:rsidR="00FE4A3E">
        <w:t xml:space="preserve"> momentti</w:t>
      </w:r>
      <w:r w:rsidRPr="008602E7">
        <w:t xml:space="preserve"> on päällekkäinen 436-2 </w:t>
      </w:r>
      <w:r w:rsidRPr="00B765DE">
        <w:rPr>
          <w:bCs/>
        </w:rPr>
        <w:t>§</w:t>
      </w:r>
      <w:r>
        <w:rPr>
          <w:bCs/>
        </w:rPr>
        <w:t xml:space="preserve">:n </w:t>
      </w:r>
      <w:r w:rsidRPr="008602E7">
        <w:t>k</w:t>
      </w:r>
      <w:r>
        <w:t>anssa; r</w:t>
      </w:r>
      <w:r w:rsidRPr="004C2AD0">
        <w:t xml:space="preserve">angaistus Venäjän federaation hyökkäyksen kieltämisestä </w:t>
      </w:r>
      <w:r>
        <w:t xml:space="preserve">sisältyy sekä </w:t>
      </w:r>
      <w:r w:rsidRPr="004C2AD0">
        <w:t xml:space="preserve">111-1 </w:t>
      </w:r>
      <w:r w:rsidRPr="00B765DE">
        <w:rPr>
          <w:bCs/>
        </w:rPr>
        <w:t>§</w:t>
      </w:r>
      <w:r>
        <w:rPr>
          <w:bCs/>
        </w:rPr>
        <w:t>:n</w:t>
      </w:r>
      <w:r w:rsidRPr="004C2AD0">
        <w:t xml:space="preserve"> 1</w:t>
      </w:r>
      <w:r w:rsidR="005D694C">
        <w:t>.</w:t>
      </w:r>
      <w:r w:rsidRPr="004C2AD0">
        <w:t xml:space="preserve"> </w:t>
      </w:r>
      <w:r w:rsidR="00FE4A3E">
        <w:t>momenttiin</w:t>
      </w:r>
      <w:r>
        <w:t xml:space="preserve"> että</w:t>
      </w:r>
      <w:r w:rsidRPr="004C2AD0">
        <w:t xml:space="preserve"> 436-2 </w:t>
      </w:r>
      <w:r w:rsidRPr="00B765DE">
        <w:rPr>
          <w:bCs/>
        </w:rPr>
        <w:t>§</w:t>
      </w:r>
      <w:r>
        <w:rPr>
          <w:bCs/>
        </w:rPr>
        <w:t>:</w:t>
      </w:r>
      <w:proofErr w:type="spellStart"/>
      <w:r>
        <w:rPr>
          <w:bCs/>
        </w:rPr>
        <w:t>ään</w:t>
      </w:r>
      <w:proofErr w:type="spellEnd"/>
      <w:r>
        <w:rPr>
          <w:bCs/>
        </w:rPr>
        <w:t>, erotuksena on ilmaisun julkisuus.</w:t>
      </w:r>
      <w:r>
        <w:rPr>
          <w:rStyle w:val="FootnoteReference"/>
        </w:rPr>
        <w:footnoteReference w:id="76"/>
      </w:r>
      <w:r>
        <w:t xml:space="preserve">  L</w:t>
      </w:r>
      <w:r w:rsidRPr="003A2920">
        <w:t>ukuis</w:t>
      </w:r>
      <w:r w:rsidR="003E447D">
        <w:t>iin</w:t>
      </w:r>
      <w:r w:rsidRPr="003A2920">
        <w:t xml:space="preserve"> tapauks</w:t>
      </w:r>
      <w:r w:rsidR="003E447D">
        <w:t>iin</w:t>
      </w:r>
      <w:r w:rsidRPr="003A2920">
        <w:t>, jotka koskevat sosiaalis</w:t>
      </w:r>
      <w:r>
        <w:t>essa mediassa</w:t>
      </w:r>
      <w:r w:rsidRPr="003A2920">
        <w:t xml:space="preserve"> julkaistuja viestejä, </w:t>
      </w:r>
      <w:r w:rsidR="003E447D">
        <w:t>sovelletaan</w:t>
      </w:r>
      <w:r>
        <w:t xml:space="preserve"> kuitenkin </w:t>
      </w:r>
      <w:r w:rsidRPr="003A2920">
        <w:t xml:space="preserve">436-2 </w:t>
      </w:r>
      <w:r w:rsidRPr="00B765DE">
        <w:rPr>
          <w:bCs/>
        </w:rPr>
        <w:t>§</w:t>
      </w:r>
      <w:r>
        <w:rPr>
          <w:bCs/>
        </w:rPr>
        <w:t>:</w:t>
      </w:r>
      <w:r w:rsidR="003E447D">
        <w:rPr>
          <w:bCs/>
        </w:rPr>
        <w:t xml:space="preserve">ää </w:t>
      </w:r>
      <w:r w:rsidRPr="003A2920">
        <w:t xml:space="preserve">vaikka 111-1 </w:t>
      </w:r>
      <w:r w:rsidRPr="00B765DE">
        <w:rPr>
          <w:bCs/>
        </w:rPr>
        <w:t>§</w:t>
      </w:r>
      <w:r>
        <w:rPr>
          <w:bCs/>
        </w:rPr>
        <w:t>:n</w:t>
      </w:r>
      <w:r w:rsidRPr="003A2920">
        <w:t xml:space="preserve"> 1</w:t>
      </w:r>
      <w:r w:rsidR="005D694C">
        <w:t>.</w:t>
      </w:r>
      <w:r w:rsidRPr="003A2920">
        <w:t xml:space="preserve"> </w:t>
      </w:r>
      <w:r w:rsidR="00FE4A3E">
        <w:t>momentissa</w:t>
      </w:r>
      <w:r w:rsidRPr="003A2920">
        <w:t xml:space="preserve"> edellytetään </w:t>
      </w:r>
      <w:r>
        <w:t xml:space="preserve">hyökkäyksen </w:t>
      </w:r>
      <w:r w:rsidRPr="003A2920">
        <w:t>julkis</w:t>
      </w:r>
      <w:r>
        <w:t xml:space="preserve">ta kieltämistä </w:t>
      </w:r>
      <w:r w:rsidRPr="003A2920">
        <w:t xml:space="preserve">ja 436-2 </w:t>
      </w:r>
      <w:r w:rsidRPr="00B765DE">
        <w:rPr>
          <w:bCs/>
        </w:rPr>
        <w:t>§</w:t>
      </w:r>
      <w:r w:rsidR="005D694C">
        <w:rPr>
          <w:bCs/>
        </w:rPr>
        <w:t xml:space="preserve">:ssä </w:t>
      </w:r>
      <w:r w:rsidRPr="003A2920">
        <w:t xml:space="preserve">ei edellytetä </w:t>
      </w:r>
      <w:r>
        <w:t>julkisuutta</w:t>
      </w:r>
      <w:r w:rsidRPr="003A2920">
        <w:t>.</w:t>
      </w:r>
      <w:r>
        <w:rPr>
          <w:rStyle w:val="FootnoteReference"/>
        </w:rPr>
        <w:footnoteReference w:id="77"/>
      </w:r>
      <w:r>
        <w:t xml:space="preserve"> Erona näiden kahden pykälän välillä on myös siinä, että </w:t>
      </w:r>
      <w:r w:rsidRPr="003A2920">
        <w:t xml:space="preserve">436-2 </w:t>
      </w:r>
      <w:r w:rsidRPr="00B765DE">
        <w:rPr>
          <w:bCs/>
        </w:rPr>
        <w:t>§</w:t>
      </w:r>
      <w:r>
        <w:rPr>
          <w:bCs/>
        </w:rPr>
        <w:t xml:space="preserve">:n alainen teko on </w:t>
      </w:r>
      <w:r w:rsidRPr="005D694C">
        <w:rPr>
          <w:bCs/>
        </w:rPr>
        <w:t xml:space="preserve">rikos ja </w:t>
      </w:r>
      <w:r w:rsidRPr="005D694C">
        <w:t xml:space="preserve">111-1 </w:t>
      </w:r>
      <w:r w:rsidRPr="005D694C">
        <w:rPr>
          <w:bCs/>
        </w:rPr>
        <w:t>§:n alainen teko on rikkomus</w:t>
      </w:r>
      <w:r w:rsidRPr="003E4B61">
        <w:rPr>
          <w:bCs/>
          <w:color w:val="FF0000"/>
        </w:rPr>
        <w:t xml:space="preserve">, </w:t>
      </w:r>
      <w:r>
        <w:rPr>
          <w:bCs/>
        </w:rPr>
        <w:t>mikä heijastuu myös annetussa rangaistuksessa.</w:t>
      </w:r>
      <w:r>
        <w:rPr>
          <w:rStyle w:val="FootnoteReference"/>
          <w:bCs/>
        </w:rPr>
        <w:footnoteReference w:id="78"/>
      </w:r>
      <w:r w:rsidR="00CA695B">
        <w:rPr>
          <w:bCs/>
        </w:rPr>
        <w:t xml:space="preserve"> </w:t>
      </w:r>
    </w:p>
    <w:p w14:paraId="1C12D067" w14:textId="4A068883" w:rsidR="00217B47" w:rsidRDefault="0059710F" w:rsidP="00B80CAA">
      <w:r w:rsidRPr="005D694C">
        <w:t xml:space="preserve">KHPG-järjestön analysoimista tuomioista 25 oli annettu </w:t>
      </w:r>
      <w:r w:rsidR="004339B6" w:rsidRPr="005D694C">
        <w:t xml:space="preserve">111-1 </w:t>
      </w:r>
      <w:r w:rsidR="008D2111" w:rsidRPr="005D694C">
        <w:t xml:space="preserve">§:n </w:t>
      </w:r>
      <w:r w:rsidR="004339B6" w:rsidRPr="005D694C">
        <w:t>6</w:t>
      </w:r>
      <w:r w:rsidR="005D694C">
        <w:t>.</w:t>
      </w:r>
      <w:r w:rsidR="00FE4A3E" w:rsidRPr="005D694C">
        <w:t xml:space="preserve"> moment</w:t>
      </w:r>
      <w:r w:rsidRPr="005D694C">
        <w:t>in perusteella</w:t>
      </w:r>
      <w:r w:rsidR="00B27806" w:rsidRPr="005D694C">
        <w:t>.</w:t>
      </w:r>
      <w:r w:rsidR="004339B6" w:rsidRPr="005D694C">
        <w:rPr>
          <w:rStyle w:val="FootnoteReference"/>
        </w:rPr>
        <w:footnoteReference w:id="79"/>
      </w:r>
      <w:r w:rsidR="00432A40" w:rsidRPr="005D694C">
        <w:t xml:space="preserve"> ZMINA-järjestö</w:t>
      </w:r>
      <w:r w:rsidR="00917B1B" w:rsidRPr="005D694C">
        <w:t>n analyysissä 6</w:t>
      </w:r>
      <w:r w:rsidR="005D694C">
        <w:t>.</w:t>
      </w:r>
      <w:r w:rsidR="00917B1B" w:rsidRPr="005D694C">
        <w:t xml:space="preserve"> </w:t>
      </w:r>
      <w:r w:rsidR="001F7124" w:rsidRPr="005D694C">
        <w:t xml:space="preserve">momentin perusteella </w:t>
      </w:r>
      <w:r w:rsidR="00F251EC" w:rsidRPr="005D694C">
        <w:t xml:space="preserve">oli annettu </w:t>
      </w:r>
      <w:r w:rsidR="00917B1B" w:rsidRPr="005D694C">
        <w:t>21</w:t>
      </w:r>
      <w:r w:rsidR="00F251EC" w:rsidRPr="005D694C">
        <w:t xml:space="preserve"> tuomiota</w:t>
      </w:r>
      <w:r w:rsidR="001F7124" w:rsidRPr="005D694C">
        <w:t>.</w:t>
      </w:r>
      <w:r w:rsidR="00917B1B" w:rsidRPr="005D694C">
        <w:t xml:space="preserve">  </w:t>
      </w:r>
      <w:r w:rsidR="00917B1B">
        <w:t xml:space="preserve">Raportissa </w:t>
      </w:r>
      <w:r w:rsidR="00917B1B">
        <w:lastRenderedPageBreak/>
        <w:t>mainitaan,</w:t>
      </w:r>
      <w:r w:rsidR="00432A40">
        <w:t xml:space="preserve"> että huolimatta tapausten vähäisestä määrästä, esitutkinnan aikaiset vankeusajat olivat melko pitkiä, yhdessä tapauksessa lähes kaksi vuotta.</w:t>
      </w:r>
      <w:r w:rsidR="00432A40">
        <w:rPr>
          <w:rStyle w:val="FootnoteReference"/>
        </w:rPr>
        <w:footnoteReference w:id="80"/>
      </w:r>
      <w:r w:rsidR="00106165">
        <w:t xml:space="preserve"> </w:t>
      </w:r>
      <w:r w:rsidR="007975BF">
        <w:t xml:space="preserve">Hieman yli puolet tuomioista oli annettu ilman syytetyn läsnäoloa, in </w:t>
      </w:r>
      <w:proofErr w:type="spellStart"/>
      <w:r w:rsidR="007975BF">
        <w:t>absentia</w:t>
      </w:r>
      <w:proofErr w:type="spellEnd"/>
      <w:r w:rsidR="007975BF">
        <w:t>.</w:t>
      </w:r>
      <w:r w:rsidR="007975BF">
        <w:rPr>
          <w:rStyle w:val="FootnoteReference"/>
        </w:rPr>
        <w:footnoteReference w:id="81"/>
      </w:r>
      <w:r w:rsidR="007975BF">
        <w:t xml:space="preserve"> </w:t>
      </w:r>
      <w:r w:rsidR="004339B6">
        <w:t xml:space="preserve">111-1 </w:t>
      </w:r>
      <w:r w:rsidR="008D2111" w:rsidRPr="008D2111">
        <w:t>§:n</w:t>
      </w:r>
      <w:r w:rsidR="003450F4">
        <w:t xml:space="preserve"> </w:t>
      </w:r>
      <w:r w:rsidR="004339B6">
        <w:t>6</w:t>
      </w:r>
      <w:r w:rsidR="005D694C">
        <w:t>.</w:t>
      </w:r>
      <w:r w:rsidR="004339B6">
        <w:t xml:space="preserve"> </w:t>
      </w:r>
      <w:r w:rsidR="00FE4A3E">
        <w:t xml:space="preserve">momentin </w:t>
      </w:r>
      <w:r w:rsidR="003450F4">
        <w:t xml:space="preserve">perusteella </w:t>
      </w:r>
      <w:r w:rsidR="005923E1">
        <w:t>on syytetty</w:t>
      </w:r>
      <w:r w:rsidR="00C762A8">
        <w:t xml:space="preserve"> esimerkiksi toimittaja</w:t>
      </w:r>
      <w:r w:rsidR="005923E1">
        <w:t>a</w:t>
      </w:r>
      <w:r w:rsidR="00C762A8">
        <w:t>, joka johti tiedo</w:t>
      </w:r>
      <w:r w:rsidR="00A43121">
        <w:t>t</w:t>
      </w:r>
      <w:r w:rsidR="00C762A8">
        <w:t>us</w:t>
      </w:r>
      <w:r w:rsidR="00A60A4D">
        <w:t>v</w:t>
      </w:r>
      <w:r w:rsidR="00C762A8">
        <w:t>äl</w:t>
      </w:r>
      <w:r w:rsidR="00A43121">
        <w:t>i</w:t>
      </w:r>
      <w:r w:rsidR="00C762A8">
        <w:t xml:space="preserve">nettä miehitetyssä </w:t>
      </w:r>
      <w:proofErr w:type="spellStart"/>
      <w:r w:rsidR="00C762A8">
        <w:t>Svatovossa</w:t>
      </w:r>
      <w:proofErr w:type="spellEnd"/>
      <w:r w:rsidR="00C762A8">
        <w:t xml:space="preserve">, sanktioidun Krim-nimisen </w:t>
      </w:r>
      <w:proofErr w:type="spellStart"/>
      <w:r w:rsidR="00C762A8">
        <w:t>tv-</w:t>
      </w:r>
      <w:proofErr w:type="spellEnd"/>
      <w:r w:rsidR="00C762A8">
        <w:t xml:space="preserve"> ja radioyhtiön </w:t>
      </w:r>
      <w:proofErr w:type="spellStart"/>
      <w:r w:rsidR="00C762A8">
        <w:t>Interview</w:t>
      </w:r>
      <w:proofErr w:type="spellEnd"/>
      <w:r w:rsidR="00C762A8">
        <w:t xml:space="preserve"> 24 -ohjelman vieras</w:t>
      </w:r>
      <w:r w:rsidR="001A58FC">
        <w:t>ta</w:t>
      </w:r>
      <w:r w:rsidR="00C762A8">
        <w:t xml:space="preserve"> ja </w:t>
      </w:r>
      <w:proofErr w:type="spellStart"/>
      <w:r w:rsidR="00C762A8">
        <w:t>Telegram</w:t>
      </w:r>
      <w:proofErr w:type="spellEnd"/>
      <w:r w:rsidR="00C762A8">
        <w:t>-käyttäjä</w:t>
      </w:r>
      <w:r w:rsidR="001A58FC">
        <w:t>ä</w:t>
      </w:r>
      <w:r w:rsidR="00C762A8">
        <w:t>, joka kerää ra</w:t>
      </w:r>
      <w:r w:rsidR="005923E1">
        <w:t>h</w:t>
      </w:r>
      <w:r w:rsidR="00C762A8">
        <w:t>aa vihollisjoukoille ja ”</w:t>
      </w:r>
      <w:proofErr w:type="spellStart"/>
      <w:r w:rsidR="00C762A8">
        <w:t>glorifioi</w:t>
      </w:r>
      <w:proofErr w:type="spellEnd"/>
      <w:r w:rsidR="00C762A8">
        <w:t>” Venäjän hallitusta kanavallaan ja ”antaa haastatteluja Venäjän ja Ukrainan väestön keskuudessa jaettavaksi, joissa hän tuo esille luonteeltaan tuhoisaa tietoa.”</w:t>
      </w:r>
      <w:r w:rsidR="00310E77">
        <w:t xml:space="preserve"> </w:t>
      </w:r>
      <w:r w:rsidR="00F251EC">
        <w:t xml:space="preserve">Rikoslain </w:t>
      </w:r>
      <w:r w:rsidR="002F0014">
        <w:t xml:space="preserve">111-1 </w:t>
      </w:r>
      <w:r w:rsidR="002F0014" w:rsidRPr="008D2111">
        <w:t xml:space="preserve">§:n </w:t>
      </w:r>
      <w:r w:rsidR="002F0014">
        <w:t>6</w:t>
      </w:r>
      <w:r w:rsidR="005D694C">
        <w:t>.</w:t>
      </w:r>
      <w:r w:rsidR="002F0014">
        <w:t xml:space="preserve"> momentin </w:t>
      </w:r>
      <w:r w:rsidR="00C762A8">
        <w:t>perusteella on myös tuomittu</w:t>
      </w:r>
      <w:r w:rsidR="00310E77">
        <w:t xml:space="preserve"> nainen, joka </w:t>
      </w:r>
      <w:r w:rsidR="00310E77" w:rsidRPr="00310E77">
        <w:t xml:space="preserve">osallistui vapaaehtoisesti </w:t>
      </w:r>
      <w:r w:rsidR="00310E77">
        <w:t xml:space="preserve">ja </w:t>
      </w:r>
      <w:r w:rsidR="00310E77" w:rsidRPr="00310E77">
        <w:t>aktiivisesti poliittisen tapahtuman järjestämiseen</w:t>
      </w:r>
      <w:r w:rsidR="00310E77">
        <w:t xml:space="preserve">. Nainen oli yhdessä muiden kanssa kantanut valtavaa </w:t>
      </w:r>
      <w:r w:rsidR="00310E77" w:rsidRPr="005923E1">
        <w:t>Venäjän lippua</w:t>
      </w:r>
      <w:r w:rsidR="00310E77">
        <w:t xml:space="preserve"> kaupungin läpi. Nainen tuomittiin</w:t>
      </w:r>
      <w:r w:rsidR="00310E77" w:rsidRPr="00310E77">
        <w:t xml:space="preserve"> </w:t>
      </w:r>
      <w:r w:rsidR="00C762A8">
        <w:t xml:space="preserve">12 vuoden vankeuteen ja omaisuuden </w:t>
      </w:r>
      <w:r w:rsidR="00310E77">
        <w:t>takavarikointiin</w:t>
      </w:r>
      <w:r w:rsidR="00C762A8">
        <w:t xml:space="preserve"> sekä 15 vuoden kieltoon </w:t>
      </w:r>
      <w:r w:rsidR="00310E77" w:rsidRPr="00310E77">
        <w:t xml:space="preserve">toimia </w:t>
      </w:r>
      <w:r w:rsidR="005923E1">
        <w:t>organis</w:t>
      </w:r>
      <w:r w:rsidR="007E26D3">
        <w:t>atoris</w:t>
      </w:r>
      <w:r w:rsidR="00F4404E">
        <w:t xml:space="preserve">hallinnollisissa tehtävissä </w:t>
      </w:r>
      <w:r w:rsidR="00310E77" w:rsidRPr="00310E77">
        <w:t xml:space="preserve">valtion elimissä ja </w:t>
      </w:r>
      <w:r w:rsidR="00310E77">
        <w:t xml:space="preserve">minkä tahansa </w:t>
      </w:r>
      <w:r w:rsidR="00310E77" w:rsidRPr="00310E77">
        <w:t xml:space="preserve">omistusmuodon </w:t>
      </w:r>
      <w:r w:rsidR="00310E77">
        <w:t>instituutioissa.</w:t>
      </w:r>
      <w:r w:rsidR="00310E77" w:rsidRPr="00310E77">
        <w:t xml:space="preserve"> </w:t>
      </w:r>
      <w:r w:rsidR="00F4404E" w:rsidRPr="007E26D3">
        <w:t>Henkilö tuomittiin</w:t>
      </w:r>
      <w:r w:rsidR="00310E77" w:rsidRPr="007E26D3">
        <w:t xml:space="preserve"> poissaolevana.</w:t>
      </w:r>
      <w:r w:rsidR="00F6085E" w:rsidRPr="00F6085E">
        <w:rPr>
          <w:rStyle w:val="FootnoteReference"/>
        </w:rPr>
        <w:t xml:space="preserve"> </w:t>
      </w:r>
      <w:r w:rsidR="00F6085E">
        <w:rPr>
          <w:rStyle w:val="FootnoteReference"/>
        </w:rPr>
        <w:footnoteReference w:id="82"/>
      </w:r>
      <w:r w:rsidR="00A6111D">
        <w:t xml:space="preserve"> </w:t>
      </w:r>
    </w:p>
    <w:p w14:paraId="5922D2EA" w14:textId="54B268B1" w:rsidR="008D40C6" w:rsidRDefault="00942C55" w:rsidP="00ED2CDE">
      <w:r>
        <w:rPr>
          <w:bCs/>
        </w:rPr>
        <w:t>Human Rights Watchin raportin mukaan</w:t>
      </w:r>
      <w:r w:rsidRPr="00942C55">
        <w:rPr>
          <w:bCs/>
        </w:rPr>
        <w:t xml:space="preserve"> kansalais</w:t>
      </w:r>
      <w:r>
        <w:rPr>
          <w:bCs/>
        </w:rPr>
        <w:t>järjestöt</w:t>
      </w:r>
      <w:r w:rsidRPr="00942C55">
        <w:rPr>
          <w:bCs/>
        </w:rPr>
        <w:t>, hallituksen virkamiehet ja kansainväliset järjestöt ovat arvostelleet yhteis</w:t>
      </w:r>
      <w:r>
        <w:rPr>
          <w:bCs/>
        </w:rPr>
        <w:t>toiminnan</w:t>
      </w:r>
      <w:r w:rsidRPr="00942C55">
        <w:rPr>
          <w:bCs/>
        </w:rPr>
        <w:t xml:space="preserve"> vastaista lainsäädäntöä liian laajaksi ja epä</w:t>
      </w:r>
      <w:r>
        <w:rPr>
          <w:bCs/>
        </w:rPr>
        <w:t>selväksi</w:t>
      </w:r>
      <w:r w:rsidRPr="00942C55">
        <w:rPr>
          <w:bCs/>
        </w:rPr>
        <w:t>.</w:t>
      </w:r>
      <w:r>
        <w:rPr>
          <w:bCs/>
        </w:rPr>
        <w:t xml:space="preserve"> Y</w:t>
      </w:r>
      <w:r w:rsidR="00E72F60">
        <w:rPr>
          <w:bCs/>
        </w:rPr>
        <w:t>hteistoimintaa vihollisen kanssa koskevaa l</w:t>
      </w:r>
      <w:r w:rsidR="009A4A6C" w:rsidRPr="00EB7825">
        <w:rPr>
          <w:bCs/>
        </w:rPr>
        <w:t xml:space="preserve">ainsäädäntöä </w:t>
      </w:r>
      <w:r>
        <w:rPr>
          <w:bCs/>
        </w:rPr>
        <w:t xml:space="preserve">kritisoidaan </w:t>
      </w:r>
      <w:r w:rsidR="008227F7">
        <w:rPr>
          <w:bCs/>
        </w:rPr>
        <w:t xml:space="preserve">muun muassa </w:t>
      </w:r>
      <w:r w:rsidR="009A4A6C" w:rsidRPr="00EB7825">
        <w:rPr>
          <w:bCs/>
        </w:rPr>
        <w:t xml:space="preserve">mielivaltaisuudesta ja ennakoitavuuden puutteesta, sillä tuomioistuimet ovat antaneet muun muassa erilaisia tuomioita samankaltaisista teoista ja identtisiä tuomioita hyvin erilaisista teoista. </w:t>
      </w:r>
      <w:r w:rsidRPr="00942C55">
        <w:rPr>
          <w:bCs/>
        </w:rPr>
        <w:t xml:space="preserve">Rikoslain </w:t>
      </w:r>
      <w:r>
        <w:rPr>
          <w:bCs/>
        </w:rPr>
        <w:t xml:space="preserve">maanpetosta käsittelevän </w:t>
      </w:r>
      <w:r w:rsidRPr="00942C55">
        <w:rPr>
          <w:bCs/>
        </w:rPr>
        <w:t>111</w:t>
      </w:r>
      <w:r>
        <w:rPr>
          <w:bCs/>
        </w:rPr>
        <w:t xml:space="preserve"> </w:t>
      </w:r>
      <w:r w:rsidR="008D2111" w:rsidRPr="008D2111">
        <w:t>§:n</w:t>
      </w:r>
      <w:r w:rsidRPr="00942C55">
        <w:rPr>
          <w:bCs/>
        </w:rPr>
        <w:t>,</w:t>
      </w:r>
      <w:r>
        <w:rPr>
          <w:bCs/>
        </w:rPr>
        <w:t xml:space="preserve"> sekä </w:t>
      </w:r>
      <w:r w:rsidRPr="00942C55">
        <w:rPr>
          <w:bCs/>
        </w:rPr>
        <w:t>111-1</w:t>
      </w:r>
      <w:r w:rsidR="005D694C">
        <w:rPr>
          <w:bCs/>
        </w:rPr>
        <w:t xml:space="preserve"> </w:t>
      </w:r>
      <w:r w:rsidR="005D694C" w:rsidRPr="008D2111">
        <w:t>§:n</w:t>
      </w:r>
      <w:r w:rsidRPr="00942C55">
        <w:rPr>
          <w:bCs/>
        </w:rPr>
        <w:t>, 111-2</w:t>
      </w:r>
      <w:r w:rsidR="005D694C">
        <w:rPr>
          <w:bCs/>
        </w:rPr>
        <w:t xml:space="preserve"> </w:t>
      </w:r>
      <w:r w:rsidR="005D694C" w:rsidRPr="008D2111">
        <w:t>§:n</w:t>
      </w:r>
      <w:r w:rsidRPr="00942C55">
        <w:rPr>
          <w:bCs/>
        </w:rPr>
        <w:t xml:space="preserve"> ja 436-2 </w:t>
      </w:r>
      <w:r w:rsidR="008D2111" w:rsidRPr="008D2111">
        <w:t>§:n</w:t>
      </w:r>
      <w:r w:rsidRPr="00942C55">
        <w:rPr>
          <w:bCs/>
        </w:rPr>
        <w:t xml:space="preserve"> mukaiset rikokset eivät selvästi eroa toisistaan</w:t>
      </w:r>
      <w:r>
        <w:rPr>
          <w:bCs/>
        </w:rPr>
        <w:t xml:space="preserve"> ja liian</w:t>
      </w:r>
      <w:r w:rsidRPr="00942C55">
        <w:rPr>
          <w:bCs/>
        </w:rPr>
        <w:t xml:space="preserve"> laajan sanamuodon vuoksi samankaltaiset rikokset voidaan </w:t>
      </w:r>
      <w:r>
        <w:rPr>
          <w:bCs/>
        </w:rPr>
        <w:t xml:space="preserve">luokitella eri </w:t>
      </w:r>
      <w:r w:rsidR="008D2111">
        <w:rPr>
          <w:bCs/>
        </w:rPr>
        <w:t>pykälien</w:t>
      </w:r>
      <w:r>
        <w:rPr>
          <w:bCs/>
        </w:rPr>
        <w:t xml:space="preserve"> alle.</w:t>
      </w:r>
      <w:r w:rsidR="00115E82" w:rsidRPr="00EB7825">
        <w:rPr>
          <w:rStyle w:val="FootnoteReference"/>
          <w:bCs/>
        </w:rPr>
        <w:footnoteReference w:id="83"/>
      </w:r>
      <w:r w:rsidR="00115E82" w:rsidRPr="00EB7825">
        <w:rPr>
          <w:b/>
          <w:bCs/>
        </w:rPr>
        <w:t xml:space="preserve"> </w:t>
      </w:r>
      <w:proofErr w:type="spellStart"/>
      <w:r w:rsidR="001D12C8" w:rsidRPr="002A5C1A">
        <w:t>HWR</w:t>
      </w:r>
      <w:r w:rsidR="00D675AC">
        <w:t>:n</w:t>
      </w:r>
      <w:proofErr w:type="spellEnd"/>
      <w:r w:rsidR="001D12C8" w:rsidRPr="002A5C1A">
        <w:t xml:space="preserve"> raportissa kerrotaan, että</w:t>
      </w:r>
      <w:r w:rsidR="001D12C8">
        <w:rPr>
          <w:b/>
          <w:bCs/>
        </w:rPr>
        <w:t xml:space="preserve"> </w:t>
      </w:r>
      <w:r w:rsidR="001D12C8" w:rsidRPr="002A5C1A">
        <w:t>muun muassa</w:t>
      </w:r>
      <w:r w:rsidR="001D12C8">
        <w:rPr>
          <w:b/>
          <w:bCs/>
        </w:rPr>
        <w:t xml:space="preserve"> </w:t>
      </w:r>
      <w:r w:rsidR="001D12C8">
        <w:t>a</w:t>
      </w:r>
      <w:r w:rsidR="001D12C8" w:rsidRPr="002A5C1A">
        <w:t>sianajaj</w:t>
      </w:r>
      <w:r w:rsidR="001D12C8">
        <w:t>ien ja</w:t>
      </w:r>
      <w:r w:rsidR="001D12C8" w:rsidRPr="002A5C1A">
        <w:t xml:space="preserve"> tuomari</w:t>
      </w:r>
      <w:r w:rsidR="001D12C8">
        <w:t xml:space="preserve">en mukaan ei ole </w:t>
      </w:r>
      <w:r w:rsidR="001D12C8" w:rsidRPr="002A5C1A">
        <w:t xml:space="preserve">tarpeeksi asianajajia, jotka haluaisivat </w:t>
      </w:r>
      <w:r w:rsidR="00095717">
        <w:t>hoitaa</w:t>
      </w:r>
      <w:r w:rsidR="001D12C8" w:rsidRPr="002A5C1A">
        <w:t xml:space="preserve"> yhteis</w:t>
      </w:r>
      <w:r w:rsidR="001D12C8">
        <w:t xml:space="preserve">toimintaa koskevia </w:t>
      </w:r>
      <w:r w:rsidR="001D12C8" w:rsidRPr="002A5C1A">
        <w:t xml:space="preserve">tapauksia. Useat henkilöt </w:t>
      </w:r>
      <w:r w:rsidR="001D12C8">
        <w:t>kertoivat</w:t>
      </w:r>
      <w:r w:rsidR="001D12C8" w:rsidRPr="002A5C1A">
        <w:t>, että tällaisia tapauksia käsitteleviä asianajajia on uhkailtu, peloteltu ja tuomittu julkisesti</w:t>
      </w:r>
      <w:r w:rsidR="001D12C8">
        <w:t xml:space="preserve">. </w:t>
      </w:r>
      <w:r w:rsidR="001D12C8" w:rsidRPr="002A5C1A">
        <w:t>Eräs asianajaja sanoi, että laki oli kirjoitettu niin huonosti, että tehokas puolustus oli mahdotonta</w:t>
      </w:r>
      <w:r w:rsidR="001D12C8">
        <w:t>.</w:t>
      </w:r>
      <w:r w:rsidR="001D12C8" w:rsidRPr="00EB7825">
        <w:rPr>
          <w:rStyle w:val="FootnoteReference"/>
          <w:bCs/>
        </w:rPr>
        <w:footnoteReference w:id="84"/>
      </w:r>
    </w:p>
    <w:p w14:paraId="70A4B201" w14:textId="13E7105C" w:rsidR="003B362D" w:rsidRDefault="006629A6" w:rsidP="00ED2CDE">
      <w:pPr>
        <w:rPr>
          <w:b/>
          <w:bCs/>
        </w:rPr>
      </w:pPr>
      <w:r>
        <w:t>Tanskan maahanmuuttoviraston</w:t>
      </w:r>
      <w:r w:rsidR="003D0AEA">
        <w:t xml:space="preserve"> </w:t>
      </w:r>
      <w:r w:rsidR="00AD5D13">
        <w:t xml:space="preserve">raportissa mainitaan, että </w:t>
      </w:r>
      <w:r w:rsidR="003D0AEA">
        <w:t>i</w:t>
      </w:r>
      <w:r w:rsidR="00AD5D13" w:rsidRPr="00D75034">
        <w:t>hmisiä, jotka ovat jakaneet hyökkäystä tukevaa sosiaalisen median sisältöä</w:t>
      </w:r>
      <w:r w:rsidR="00AD5D13">
        <w:t>,</w:t>
      </w:r>
      <w:r w:rsidR="00AD5D13" w:rsidRPr="00D75034">
        <w:t xml:space="preserve"> on pidetty pitkiä aikoja tutkintavankeudessa.</w:t>
      </w:r>
      <w:r w:rsidR="00AD5D13" w:rsidRPr="00D75034">
        <w:rPr>
          <w:rStyle w:val="FootnoteReference"/>
        </w:rPr>
        <w:footnoteReference w:id="85"/>
      </w:r>
      <w:r w:rsidR="00AD5D13" w:rsidRPr="00000444">
        <w:t xml:space="preserve"> </w:t>
      </w:r>
      <w:proofErr w:type="spellStart"/>
      <w:r w:rsidR="00AD5D13">
        <w:t>HRW:n</w:t>
      </w:r>
      <w:proofErr w:type="spellEnd"/>
      <w:r w:rsidR="00AD5D13">
        <w:t xml:space="preserve"> raportin mukaan yhteistoimintaa käsittelevissä tapauksissa tuomioistuimet määräsivät </w:t>
      </w:r>
      <w:r w:rsidR="002A0484">
        <w:t xml:space="preserve">henkilön tutkintavankeuteen </w:t>
      </w:r>
      <w:r w:rsidR="00AD5D13" w:rsidRPr="006D0D54">
        <w:t>ottamatta huomioon yksilöllisiä olosuhteita tai todisteiden vahvuutt</w:t>
      </w:r>
      <w:r w:rsidR="00AD5D13">
        <w:t>a.</w:t>
      </w:r>
      <w:r w:rsidR="00AD5D13" w:rsidRPr="00EB7825">
        <w:rPr>
          <w:rStyle w:val="FootnoteReference"/>
          <w:bCs/>
        </w:rPr>
        <w:footnoteReference w:id="86"/>
      </w:r>
      <w:r w:rsidR="00AD5D13" w:rsidRPr="00EB7825">
        <w:rPr>
          <w:b/>
          <w:bCs/>
        </w:rPr>
        <w:t xml:space="preserve"> </w:t>
      </w:r>
      <w:bookmarkStart w:id="2" w:name="_Hlk193205086"/>
      <w:r w:rsidR="003B362D">
        <w:rPr>
          <w:bCs/>
        </w:rPr>
        <w:t xml:space="preserve">Suurin osa yhteistoimintatapauksista ei etene muutoksenhakuun ja valitustuomioistuimet </w:t>
      </w:r>
      <w:r w:rsidR="00324B89">
        <w:rPr>
          <w:bCs/>
        </w:rPr>
        <w:t xml:space="preserve">hyväksyvät </w:t>
      </w:r>
      <w:r w:rsidR="003B362D">
        <w:rPr>
          <w:bCs/>
        </w:rPr>
        <w:t>hyvin harvoin puolustuksen valituksen.</w:t>
      </w:r>
      <w:bookmarkEnd w:id="2"/>
      <w:r w:rsidR="003B362D">
        <w:rPr>
          <w:bCs/>
        </w:rPr>
        <w:t xml:space="preserve"> 111-1</w:t>
      </w:r>
      <w:r w:rsidR="002F0014">
        <w:rPr>
          <w:bCs/>
        </w:rPr>
        <w:t xml:space="preserve"> </w:t>
      </w:r>
      <w:r w:rsidR="002F0014" w:rsidRPr="008D2111">
        <w:t>§:n</w:t>
      </w:r>
      <w:r w:rsidR="003B362D">
        <w:rPr>
          <w:bCs/>
        </w:rPr>
        <w:t xml:space="preserve"> perusteella annetusta </w:t>
      </w:r>
      <w:r w:rsidR="002F0014">
        <w:rPr>
          <w:bCs/>
        </w:rPr>
        <w:t xml:space="preserve">1 948 </w:t>
      </w:r>
      <w:r w:rsidR="003B362D">
        <w:rPr>
          <w:bCs/>
        </w:rPr>
        <w:t>tuomiosta 104 johti tuomion tarkistukseen ja suurin osa johti tuomion koventamiseen.</w:t>
      </w:r>
      <w:r w:rsidR="003B362D">
        <w:rPr>
          <w:rStyle w:val="FootnoteReference"/>
          <w:bCs/>
        </w:rPr>
        <w:footnoteReference w:id="87"/>
      </w:r>
      <w:r w:rsidR="003B362D">
        <w:rPr>
          <w:b/>
          <w:bCs/>
        </w:rPr>
        <w:t xml:space="preserve"> </w:t>
      </w:r>
      <w:r w:rsidR="003B362D">
        <w:rPr>
          <w:bCs/>
        </w:rPr>
        <w:t xml:space="preserve"> </w:t>
      </w:r>
      <w:r w:rsidR="001D12C8">
        <w:rPr>
          <w:bCs/>
        </w:rPr>
        <w:t>Raportin mukaan valittaminen yhteistoimintatapauksissa on aikaa</w:t>
      </w:r>
      <w:r w:rsidR="00137A5B">
        <w:rPr>
          <w:bCs/>
        </w:rPr>
        <w:t xml:space="preserve"> </w:t>
      </w:r>
      <w:r w:rsidR="001D12C8">
        <w:rPr>
          <w:bCs/>
        </w:rPr>
        <w:t xml:space="preserve">vievää ja kallista, ja se vaatii lakipalveluita, joihin monella ei ole varaa, eikä saatavilla ole lakimiehiä, jotka ovat halukkaita ajamaan yhteistoimintatapauksia. Lisäksi merkittävässä osassa tapauksista </w:t>
      </w:r>
      <w:r w:rsidR="00137A5B">
        <w:rPr>
          <w:bCs/>
        </w:rPr>
        <w:t>tehdään</w:t>
      </w:r>
      <w:r w:rsidR="001D12C8">
        <w:rPr>
          <w:bCs/>
        </w:rPr>
        <w:t xml:space="preserve"> syyllisyyden tunnustamissop</w:t>
      </w:r>
      <w:r w:rsidR="00137A5B">
        <w:rPr>
          <w:bCs/>
        </w:rPr>
        <w:t>imus, mikä vähentää syytetyn oikeutta valittaa tuomiosta. Tunnustamissopimuksen tehneellä syytetyllä on huomattavasti vähemmän perusteita valittaa tuomiosta, sekä lyhyempi aika jättää valitus.</w:t>
      </w:r>
      <w:r w:rsidR="00137A5B">
        <w:rPr>
          <w:rStyle w:val="FootnoteReference"/>
          <w:bCs/>
        </w:rPr>
        <w:footnoteReference w:id="88"/>
      </w:r>
      <w:r w:rsidR="00137A5B">
        <w:rPr>
          <w:b/>
          <w:bCs/>
        </w:rPr>
        <w:t xml:space="preserve"> </w:t>
      </w:r>
      <w:r w:rsidR="00137A5B">
        <w:rPr>
          <w:bCs/>
        </w:rPr>
        <w:t xml:space="preserve"> Syyllisyyden tunnustamista koskevien </w:t>
      </w:r>
      <w:r w:rsidR="00137A5B">
        <w:t xml:space="preserve">sopimusten </w:t>
      </w:r>
      <w:r w:rsidR="00137A5B" w:rsidRPr="001C4496">
        <w:t xml:space="preserve">määrän raportoidaan </w:t>
      </w:r>
      <w:r w:rsidR="009A5D20">
        <w:t xml:space="preserve">kuitenkin </w:t>
      </w:r>
      <w:r w:rsidR="00137A5B" w:rsidRPr="001C4496">
        <w:t xml:space="preserve">vähentyneen, osaltaan mahdollisesti in </w:t>
      </w:r>
      <w:proofErr w:type="spellStart"/>
      <w:r w:rsidR="00137A5B" w:rsidRPr="001C4496">
        <w:lastRenderedPageBreak/>
        <w:t>absentia</w:t>
      </w:r>
      <w:proofErr w:type="spellEnd"/>
      <w:r w:rsidR="00137A5B" w:rsidRPr="001C4496">
        <w:t xml:space="preserve"> -menettelyn kasvun johdosta.</w:t>
      </w:r>
      <w:r w:rsidR="00137A5B" w:rsidRPr="001C4496">
        <w:rPr>
          <w:rStyle w:val="FootnoteReference"/>
        </w:rPr>
        <w:t xml:space="preserve"> </w:t>
      </w:r>
      <w:r w:rsidR="00137A5B" w:rsidRPr="00EB7825">
        <w:rPr>
          <w:rStyle w:val="FootnoteReference"/>
          <w:bCs/>
        </w:rPr>
        <w:footnoteReference w:id="89"/>
      </w:r>
      <w:r w:rsidR="00137A5B" w:rsidRPr="00EB7825">
        <w:rPr>
          <w:b/>
          <w:bCs/>
        </w:rPr>
        <w:t xml:space="preserve"> </w:t>
      </w:r>
      <w:r w:rsidR="00137A5B">
        <w:rPr>
          <w:b/>
          <w:bCs/>
        </w:rPr>
        <w:t xml:space="preserve">  </w:t>
      </w:r>
      <w:proofErr w:type="spellStart"/>
      <w:r w:rsidR="009A5D20" w:rsidRPr="009A5D20">
        <w:t>HRW:n</w:t>
      </w:r>
      <w:proofErr w:type="spellEnd"/>
      <w:r w:rsidR="009A5D20" w:rsidRPr="009A5D20">
        <w:t xml:space="preserve"> raportin mukaan in </w:t>
      </w:r>
      <w:proofErr w:type="spellStart"/>
      <w:r w:rsidR="009A5D20" w:rsidRPr="009A5D20">
        <w:t>absentia</w:t>
      </w:r>
      <w:proofErr w:type="spellEnd"/>
      <w:r w:rsidR="005F69CE">
        <w:t xml:space="preserve"> </w:t>
      </w:r>
      <w:r w:rsidR="009A5D20" w:rsidRPr="009A5D20">
        <w:t>-tuomiot ovat keskeinen osa yhteistoiminalainsäädännön täytäntöönpanoa.</w:t>
      </w:r>
      <w:r w:rsidR="009A5D20">
        <w:t xml:space="preserve"> Raportissa kritisoidaan menettelyn käyttöä</w:t>
      </w:r>
      <w:r w:rsidR="009A5D20">
        <w:rPr>
          <w:b/>
          <w:bCs/>
        </w:rPr>
        <w:t xml:space="preserve"> </w:t>
      </w:r>
      <w:r w:rsidR="009A5D20" w:rsidRPr="009A606A">
        <w:t xml:space="preserve">ilman </w:t>
      </w:r>
      <w:r w:rsidR="007101E2">
        <w:t xml:space="preserve">sellaisia </w:t>
      </w:r>
      <w:r w:rsidR="009A5D20" w:rsidRPr="009A606A">
        <w:t xml:space="preserve">oikeusturvatakeita, jotka tekisivät </w:t>
      </w:r>
      <w:r w:rsidR="009A606A" w:rsidRPr="009A606A">
        <w:t>oikeudenkäyntimenettelystä</w:t>
      </w:r>
      <w:r w:rsidR="009A5D20" w:rsidRPr="009A606A">
        <w:t xml:space="preserve"> oikeudenmukais</w:t>
      </w:r>
      <w:r w:rsidR="009A606A" w:rsidRPr="009A606A">
        <w:t>en kansainvälisen lain mukaan.</w:t>
      </w:r>
      <w:r w:rsidR="009A5D20">
        <w:rPr>
          <w:b/>
          <w:bCs/>
        </w:rPr>
        <w:t xml:space="preserve"> </w:t>
      </w:r>
      <w:r w:rsidR="003B362D">
        <w:t>K</w:t>
      </w:r>
      <w:r w:rsidR="003B362D" w:rsidRPr="00E1370F">
        <w:t xml:space="preserve">olmannes </w:t>
      </w:r>
      <w:proofErr w:type="spellStart"/>
      <w:r w:rsidR="003B362D">
        <w:t>HRW:n</w:t>
      </w:r>
      <w:proofErr w:type="spellEnd"/>
      <w:r w:rsidR="003B362D">
        <w:t xml:space="preserve"> analysoimasta </w:t>
      </w:r>
      <w:r w:rsidR="003B362D" w:rsidRPr="00E1370F">
        <w:t>1 948 tuomi</w:t>
      </w:r>
      <w:r w:rsidR="003B362D">
        <w:t>osta</w:t>
      </w:r>
      <w:r w:rsidR="003B362D" w:rsidRPr="00E1370F">
        <w:t xml:space="preserve"> annettiin </w:t>
      </w:r>
      <w:r w:rsidR="003B362D">
        <w:t>ilman syytetyn läsn</w:t>
      </w:r>
      <w:r w:rsidR="00324B89">
        <w:t>ä</w:t>
      </w:r>
      <w:r w:rsidR="003B362D">
        <w:t>oloa</w:t>
      </w:r>
      <w:r w:rsidR="00137A5B">
        <w:t xml:space="preserve">, in </w:t>
      </w:r>
      <w:proofErr w:type="spellStart"/>
      <w:r w:rsidR="00137A5B">
        <w:t>absentia</w:t>
      </w:r>
      <w:proofErr w:type="spellEnd"/>
      <w:r w:rsidR="003B362D">
        <w:t>.</w:t>
      </w:r>
      <w:r w:rsidR="003B362D" w:rsidRPr="00EB7825">
        <w:rPr>
          <w:rStyle w:val="FootnoteReference"/>
          <w:bCs/>
        </w:rPr>
        <w:footnoteReference w:id="90"/>
      </w:r>
      <w:r w:rsidR="003B362D" w:rsidRPr="00EB7825">
        <w:rPr>
          <w:b/>
          <w:bCs/>
        </w:rPr>
        <w:t xml:space="preserve"> </w:t>
      </w:r>
      <w:proofErr w:type="spellStart"/>
      <w:r w:rsidR="003B362D" w:rsidRPr="00106165">
        <w:t>Zmina</w:t>
      </w:r>
      <w:proofErr w:type="spellEnd"/>
      <w:r w:rsidR="003B362D">
        <w:t xml:space="preserve">-järjestön </w:t>
      </w:r>
      <w:r w:rsidR="003B362D" w:rsidRPr="00106165">
        <w:t xml:space="preserve">vuonna 2024 julkaiseman raportin mukaan in </w:t>
      </w:r>
      <w:proofErr w:type="spellStart"/>
      <w:r w:rsidR="003B362D" w:rsidRPr="00106165">
        <w:t>absentia</w:t>
      </w:r>
      <w:proofErr w:type="spellEnd"/>
      <w:r w:rsidR="003B362D" w:rsidRPr="00106165">
        <w:t xml:space="preserve"> -menettelyn käyttö on lisääntynyt merkittävästi ja menettelyä käytetään kaikissa 111-1 </w:t>
      </w:r>
      <w:r w:rsidR="00F25067" w:rsidRPr="008D2111">
        <w:t xml:space="preserve">§:n </w:t>
      </w:r>
      <w:r w:rsidR="004A09AE">
        <w:t>momenteissa</w:t>
      </w:r>
      <w:r w:rsidR="003B362D" w:rsidRPr="00106165">
        <w:t>, paitsi 1</w:t>
      </w:r>
      <w:r w:rsidR="004A09AE">
        <w:t>.</w:t>
      </w:r>
      <w:r w:rsidR="003B362D" w:rsidRPr="00106165">
        <w:t xml:space="preserve"> ja 2</w:t>
      </w:r>
      <w:r w:rsidR="004A09AE">
        <w:t>.</w:t>
      </w:r>
      <w:r w:rsidR="002F0014">
        <w:t xml:space="preserve"> momentissa</w:t>
      </w:r>
      <w:r w:rsidR="003B362D">
        <w:t>.</w:t>
      </w:r>
      <w:r w:rsidR="003B362D">
        <w:rPr>
          <w:rStyle w:val="FootnoteReference"/>
        </w:rPr>
        <w:footnoteReference w:id="91"/>
      </w:r>
      <w:r w:rsidR="003B362D">
        <w:rPr>
          <w:b/>
          <w:bCs/>
        </w:rPr>
        <w:t xml:space="preserve"> </w:t>
      </w:r>
    </w:p>
    <w:p w14:paraId="315FA40B" w14:textId="5A63843E" w:rsidR="009D7B8A" w:rsidRDefault="004B6D8F" w:rsidP="00BA0D28">
      <w:pPr>
        <w:pStyle w:val="Numeroimatonotsikko"/>
        <w:spacing w:before="160" w:after="160" w:line="260" w:lineRule="exact"/>
        <w:rPr>
          <w:b w:val="0"/>
        </w:rPr>
      </w:pPr>
      <w:r w:rsidRPr="000C018E">
        <w:rPr>
          <w:b w:val="0"/>
        </w:rPr>
        <w:t xml:space="preserve">Human Rights Watch raportoi, että </w:t>
      </w:r>
      <w:r>
        <w:rPr>
          <w:b w:val="0"/>
        </w:rPr>
        <w:t xml:space="preserve">Venäjän </w:t>
      </w:r>
      <w:r w:rsidRPr="000C018E">
        <w:rPr>
          <w:b w:val="0"/>
        </w:rPr>
        <w:t>miehitykse</w:t>
      </w:r>
      <w:r>
        <w:rPr>
          <w:b w:val="0"/>
        </w:rPr>
        <w:t>stä vapautetuill</w:t>
      </w:r>
      <w:r w:rsidR="00275644">
        <w:rPr>
          <w:b w:val="0"/>
        </w:rPr>
        <w:t>e</w:t>
      </w:r>
      <w:r>
        <w:rPr>
          <w:b w:val="0"/>
        </w:rPr>
        <w:t xml:space="preserve"> alueill</w:t>
      </w:r>
      <w:r w:rsidR="00275644">
        <w:rPr>
          <w:b w:val="0"/>
        </w:rPr>
        <w:t>e palanneet</w:t>
      </w:r>
      <w:r>
        <w:rPr>
          <w:b w:val="0"/>
        </w:rPr>
        <w:t xml:space="preserve"> </w:t>
      </w:r>
      <w:r w:rsidR="00275644">
        <w:rPr>
          <w:b w:val="0"/>
        </w:rPr>
        <w:t xml:space="preserve">ukrainalaiset </w:t>
      </w:r>
      <w:r>
        <w:rPr>
          <w:b w:val="0"/>
        </w:rPr>
        <w:t xml:space="preserve">paikallisviranomaiset ovat ottaneet kohteekseen </w:t>
      </w:r>
      <w:r w:rsidR="00275644">
        <w:rPr>
          <w:b w:val="0"/>
        </w:rPr>
        <w:t xml:space="preserve">miehityksen ajaksi alueelle jääneitä </w:t>
      </w:r>
      <w:r>
        <w:rPr>
          <w:b w:val="0"/>
        </w:rPr>
        <w:t xml:space="preserve">asukkaita sen jälkeen, kun heidät on tutkittu ja vapautettu epäilyistä yhteistoiminnasta annetun lainsäädännön rikkomisesta. </w:t>
      </w:r>
      <w:r w:rsidRPr="000C018E">
        <w:rPr>
          <w:b w:val="0"/>
        </w:rPr>
        <w:t xml:space="preserve">Paikallisviranomaiset </w:t>
      </w:r>
      <w:r w:rsidR="00275644">
        <w:rPr>
          <w:b w:val="0"/>
        </w:rPr>
        <w:t>saattavat</w:t>
      </w:r>
      <w:r w:rsidRPr="000C018E">
        <w:rPr>
          <w:b w:val="0"/>
        </w:rPr>
        <w:t xml:space="preserve"> viestiä julkisesti, ett</w:t>
      </w:r>
      <w:r w:rsidR="00275644">
        <w:rPr>
          <w:b w:val="0"/>
        </w:rPr>
        <w:t>eivät</w:t>
      </w:r>
      <w:r w:rsidRPr="000C018E">
        <w:rPr>
          <w:b w:val="0"/>
        </w:rPr>
        <w:t xml:space="preserve"> </w:t>
      </w:r>
      <w:r w:rsidR="00275644">
        <w:rPr>
          <w:b w:val="0"/>
        </w:rPr>
        <w:t>miehityksen ajaksi alueelle jääneet asukkaat tule saamaan enää töitä.</w:t>
      </w:r>
      <w:r w:rsidRPr="000C018E">
        <w:rPr>
          <w:b w:val="0"/>
        </w:rPr>
        <w:t xml:space="preserve"> </w:t>
      </w:r>
      <w:r>
        <w:rPr>
          <w:b w:val="0"/>
        </w:rPr>
        <w:t xml:space="preserve">Virallisesti käytäntö ei ole hyväksytty. </w:t>
      </w:r>
      <w:r w:rsidRPr="00A159E4">
        <w:rPr>
          <w:b w:val="0"/>
        </w:rPr>
        <w:t>Raportissa kerrotaan psykologista, joka oli julkaissut artikkelin</w:t>
      </w:r>
      <w:r>
        <w:rPr>
          <w:b w:val="0"/>
        </w:rPr>
        <w:t xml:space="preserve"> paikallislehdessä venäläisten miehitysviranomaisten hallinnassa olleen opetusviraston pyynnöstä. </w:t>
      </w:r>
      <w:r w:rsidRPr="00A159E4">
        <w:rPr>
          <w:b w:val="0"/>
        </w:rPr>
        <w:t xml:space="preserve">Artikkeli käsitteli tapoja tukea lapsia emotionaalisesti sodan aikana. Vaikka nainen oli </w:t>
      </w:r>
      <w:r>
        <w:rPr>
          <w:b w:val="0"/>
        </w:rPr>
        <w:t xml:space="preserve">miehityksen päätyttyä </w:t>
      </w:r>
      <w:r w:rsidRPr="00A159E4">
        <w:rPr>
          <w:b w:val="0"/>
        </w:rPr>
        <w:t>todettu syyttömäksi yhteistoimintaan</w:t>
      </w:r>
      <w:r>
        <w:rPr>
          <w:b w:val="0"/>
        </w:rPr>
        <w:t xml:space="preserve"> Venäjän joukkojen kanssa</w:t>
      </w:r>
      <w:r w:rsidRPr="00A159E4">
        <w:rPr>
          <w:b w:val="0"/>
        </w:rPr>
        <w:t>, paikallisviranomaiset olivat tehneet s</w:t>
      </w:r>
      <w:r>
        <w:rPr>
          <w:b w:val="0"/>
        </w:rPr>
        <w:t>elväksi hänelle, että psykologi ei voi enää ikinä työskennellä opetusvirastossa. Paikallisviranomainen oli erityisesti sanonut, että tämä johtui naisen kirjoittamasta artikkelista. Naisen palkannut säätiö oli erottanut naisen ja ilmoittanut, että paikallishallinto oli nimenomaisesti kieltänyt heitä palkkaamasta häntä.</w:t>
      </w:r>
      <w:r>
        <w:rPr>
          <w:rStyle w:val="FootnoteReference"/>
          <w:b w:val="0"/>
        </w:rPr>
        <w:footnoteReference w:id="92"/>
      </w:r>
      <w:r>
        <w:rPr>
          <w:b w:val="0"/>
        </w:rPr>
        <w:t xml:space="preserve"> </w:t>
      </w:r>
    </w:p>
    <w:p w14:paraId="3DC61288" w14:textId="4BBA0E6D" w:rsidR="009A4A6C" w:rsidRDefault="009A4A6C" w:rsidP="00BA0D28">
      <w:pPr>
        <w:pStyle w:val="Numeroimatonotsikko"/>
        <w:spacing w:before="160" w:after="160" w:line="260" w:lineRule="exact"/>
      </w:pPr>
      <w:r>
        <w:t>Y</w:t>
      </w:r>
      <w:r w:rsidR="00BA0D28">
        <w:t>hteenveto</w:t>
      </w:r>
    </w:p>
    <w:p w14:paraId="45901E77" w14:textId="35D0BFB6" w:rsidR="003F40BB" w:rsidRPr="003F40BB" w:rsidRDefault="003F40BB" w:rsidP="00BA0D28">
      <w:pPr>
        <w:pStyle w:val="Numeroimatonotsikko"/>
        <w:spacing w:before="160" w:after="160" w:line="260" w:lineRule="exact"/>
        <w:rPr>
          <w:b w:val="0"/>
          <w:bCs/>
        </w:rPr>
      </w:pPr>
      <w:r w:rsidRPr="003F40BB">
        <w:rPr>
          <w:b w:val="0"/>
          <w:bCs/>
        </w:rPr>
        <w:t>Ukrainalaisten, jotka esittävät selkeää sympatiaa Venäjän federaatiota, ja sen toimia Ukrainassa kohtaan, tai esittävät Venäjä-myönteistä retoriikkaa, raportoidaan kohtaavan vakavia seuraamuksia Ukrainan viranomaisilta</w:t>
      </w:r>
      <w:r w:rsidR="00734DB0" w:rsidRPr="003F40BB">
        <w:rPr>
          <w:b w:val="0"/>
          <w:bCs/>
        </w:rPr>
        <w:t>. Yhden lähteen mukaan mikä vain Venäjä-m</w:t>
      </w:r>
      <w:r>
        <w:rPr>
          <w:b w:val="0"/>
          <w:bCs/>
        </w:rPr>
        <w:t>yönteinen</w:t>
      </w:r>
      <w:r w:rsidR="00734DB0" w:rsidRPr="003F40BB">
        <w:rPr>
          <w:b w:val="0"/>
          <w:bCs/>
        </w:rPr>
        <w:t xml:space="preserve"> retoriikka </w:t>
      </w:r>
      <w:r>
        <w:rPr>
          <w:b w:val="0"/>
          <w:bCs/>
        </w:rPr>
        <w:t xml:space="preserve">voi </w:t>
      </w:r>
      <w:r w:rsidR="00734DB0" w:rsidRPr="003F40BB">
        <w:rPr>
          <w:b w:val="0"/>
          <w:bCs/>
        </w:rPr>
        <w:t xml:space="preserve">johtaa viranomaismielenkiintoon, toisen lähteen mukaan henkilön pitää aktiivisesti osoittaa sympatiaa Venäjää kohtaan, </w:t>
      </w:r>
      <w:r>
        <w:rPr>
          <w:b w:val="0"/>
          <w:bCs/>
        </w:rPr>
        <w:t>jotta</w:t>
      </w:r>
      <w:r w:rsidR="00734DB0" w:rsidRPr="003F40BB">
        <w:rPr>
          <w:b w:val="0"/>
          <w:bCs/>
        </w:rPr>
        <w:t xml:space="preserve"> hän joutuisi syytteeseen. </w:t>
      </w:r>
    </w:p>
    <w:p w14:paraId="655B88ED" w14:textId="24189165" w:rsidR="006E7E3D" w:rsidRDefault="00D675AC" w:rsidP="00BA0D28">
      <w:pPr>
        <w:pStyle w:val="Numeroimatonotsikko"/>
        <w:spacing w:before="160" w:after="160" w:line="260" w:lineRule="exact"/>
        <w:rPr>
          <w:b w:val="0"/>
          <w:bCs/>
        </w:rPr>
      </w:pPr>
      <w:r w:rsidRPr="00D675AC">
        <w:rPr>
          <w:b w:val="0"/>
          <w:bCs/>
        </w:rPr>
        <w:t>Satoja ihmisiä on tuomittu sodan alkamisen jälkeen</w:t>
      </w:r>
      <w:r w:rsidR="003F40BB" w:rsidRPr="003F40BB">
        <w:t xml:space="preserve"> </w:t>
      </w:r>
      <w:r w:rsidR="003F40BB" w:rsidRPr="003F40BB">
        <w:rPr>
          <w:b w:val="0"/>
          <w:bCs/>
        </w:rPr>
        <w:t>rikoslain 436-2 §:n (Venäjän federaation Ukrainaan kohdistaman aseellisen hyökkäyksen oikeuttaminen) nojalla.</w:t>
      </w:r>
      <w:r w:rsidRPr="00D675AC">
        <w:rPr>
          <w:b w:val="0"/>
          <w:bCs/>
        </w:rPr>
        <w:t xml:space="preserve"> </w:t>
      </w:r>
      <w:r w:rsidR="003F40BB">
        <w:rPr>
          <w:b w:val="0"/>
          <w:bCs/>
        </w:rPr>
        <w:t xml:space="preserve">Tuomioita on annettu </w:t>
      </w:r>
      <w:r w:rsidRPr="00D675AC">
        <w:rPr>
          <w:b w:val="0"/>
          <w:bCs/>
        </w:rPr>
        <w:t xml:space="preserve">sosiaalisessa mediassa tapahtuneen toiminnan, puhelinkeskustelujen ja muiden keskustelujen perusteella. Yleisin vankeusrangaistuksen pituus on 5 vuotta, </w:t>
      </w:r>
      <w:r w:rsidRPr="00C9529F">
        <w:rPr>
          <w:b w:val="0"/>
          <w:bCs/>
        </w:rPr>
        <w:t xml:space="preserve">mutta valtaosassa tapauksista oikeus on vapauttanut tuomitun </w:t>
      </w:r>
      <w:r w:rsidR="003F40BB" w:rsidRPr="00C9529F">
        <w:rPr>
          <w:b w:val="0"/>
          <w:bCs/>
        </w:rPr>
        <w:t>vankeus</w:t>
      </w:r>
      <w:r w:rsidRPr="00C9529F">
        <w:rPr>
          <w:b w:val="0"/>
          <w:bCs/>
        </w:rPr>
        <w:t>rangaistuksen suorittamisesta.</w:t>
      </w:r>
      <w:r w:rsidRPr="00F83088">
        <w:rPr>
          <w:b w:val="0"/>
          <w:bCs/>
          <w:color w:val="FF0000"/>
        </w:rPr>
        <w:t xml:space="preserve"> </w:t>
      </w:r>
      <w:r w:rsidRPr="00D675AC">
        <w:rPr>
          <w:b w:val="0"/>
          <w:bCs/>
        </w:rPr>
        <w:t xml:space="preserve">Yhteistoimintaa vihollisen kanssa säätelevän rikoslain 111-1 §:n perusteella on myös tuomittu ihmisiä. Syksyyn 2024 mennessä tuomioita yhteistoiminnasta oli annettu 1 948, joista vapauttavia tuomioita 6.  </w:t>
      </w:r>
      <w:r w:rsidR="003F40BB" w:rsidRPr="003F40BB">
        <w:rPr>
          <w:b w:val="0"/>
        </w:rPr>
        <w:t>Yhteistoiminnasta vihollisen kanssa annetuissa tuomioissa annetaan langettava tuomio yli 99 %:ssa tapauksista.</w:t>
      </w:r>
      <w:r w:rsidR="003F40BB" w:rsidRPr="00D675AC">
        <w:rPr>
          <w:b w:val="0"/>
          <w:bCs/>
        </w:rPr>
        <w:t xml:space="preserve"> </w:t>
      </w:r>
      <w:r w:rsidRPr="00D675AC">
        <w:rPr>
          <w:b w:val="0"/>
          <w:bCs/>
        </w:rPr>
        <w:t>Laki sisältää listan yhteistoimintana pidettävistä teoista, 111-1 §:n 1</w:t>
      </w:r>
      <w:r w:rsidR="00C9529F">
        <w:rPr>
          <w:b w:val="0"/>
          <w:bCs/>
        </w:rPr>
        <w:t>.</w:t>
      </w:r>
      <w:r w:rsidRPr="00D675AC">
        <w:rPr>
          <w:b w:val="0"/>
          <w:bCs/>
        </w:rPr>
        <w:t xml:space="preserve"> momentissa säädetään muun muassa Ukrainan vastaisen aseellisen hyökkäyksen julkisesta kieltämisestä.</w:t>
      </w:r>
      <w:r w:rsidR="00C57FB9">
        <w:rPr>
          <w:b w:val="0"/>
          <w:bCs/>
        </w:rPr>
        <w:t xml:space="preserve"> </w:t>
      </w:r>
      <w:r w:rsidR="00C57FB9" w:rsidRPr="00D675AC">
        <w:rPr>
          <w:b w:val="0"/>
          <w:bCs/>
        </w:rPr>
        <w:t>111-1 §:n 1</w:t>
      </w:r>
      <w:r w:rsidR="00C9529F">
        <w:rPr>
          <w:b w:val="0"/>
          <w:bCs/>
        </w:rPr>
        <w:t>.</w:t>
      </w:r>
      <w:r w:rsidR="00C57FB9" w:rsidRPr="00D675AC">
        <w:rPr>
          <w:b w:val="0"/>
          <w:bCs/>
        </w:rPr>
        <w:t xml:space="preserve"> momenti</w:t>
      </w:r>
      <w:r w:rsidR="00C57FB9">
        <w:rPr>
          <w:b w:val="0"/>
          <w:bCs/>
        </w:rPr>
        <w:t xml:space="preserve">n perusteella annetaan </w:t>
      </w:r>
      <w:r w:rsidR="006E7E3D">
        <w:rPr>
          <w:b w:val="0"/>
          <w:bCs/>
        </w:rPr>
        <w:t xml:space="preserve">käytettyjen lähteiden perusteella </w:t>
      </w:r>
      <w:r w:rsidR="00C57FB9">
        <w:rPr>
          <w:b w:val="0"/>
          <w:bCs/>
        </w:rPr>
        <w:t>eniten tuomioita.</w:t>
      </w:r>
      <w:r w:rsidR="00C57FB9" w:rsidRPr="00C57FB9">
        <w:rPr>
          <w:b w:val="0"/>
          <w:bCs/>
        </w:rPr>
        <w:t xml:space="preserve"> </w:t>
      </w:r>
      <w:r w:rsidR="006E7E3D" w:rsidRPr="00ED7623">
        <w:rPr>
          <w:b w:val="0"/>
          <w:bCs/>
        </w:rPr>
        <w:t>Rangaistus on kielto toimia tietyissä tehtävissä tai harjoittaa tiettyä toimintaa 10</w:t>
      </w:r>
      <w:r w:rsidR="006E7E3D">
        <w:rPr>
          <w:b w:val="0"/>
          <w:bCs/>
        </w:rPr>
        <w:t>–</w:t>
      </w:r>
      <w:r w:rsidR="006E7E3D" w:rsidRPr="00ED7623">
        <w:rPr>
          <w:b w:val="0"/>
          <w:bCs/>
        </w:rPr>
        <w:t>15</w:t>
      </w:r>
      <w:r w:rsidR="006E7E3D">
        <w:rPr>
          <w:b w:val="0"/>
          <w:bCs/>
        </w:rPr>
        <w:t xml:space="preserve"> </w:t>
      </w:r>
      <w:r w:rsidR="006E7E3D" w:rsidRPr="00ED7623">
        <w:rPr>
          <w:b w:val="0"/>
          <w:bCs/>
        </w:rPr>
        <w:t>vuode</w:t>
      </w:r>
      <w:r w:rsidR="006E7E3D">
        <w:rPr>
          <w:b w:val="0"/>
          <w:bCs/>
        </w:rPr>
        <w:t xml:space="preserve">n ajan. </w:t>
      </w:r>
      <w:r w:rsidRPr="00D675AC">
        <w:rPr>
          <w:b w:val="0"/>
          <w:bCs/>
        </w:rPr>
        <w:t>Suurin osa yhteistoimintatapauksista ei etene muutoksenhakuun</w:t>
      </w:r>
      <w:r>
        <w:rPr>
          <w:b w:val="0"/>
          <w:bCs/>
        </w:rPr>
        <w:t xml:space="preserve"> ja </w:t>
      </w:r>
      <w:r w:rsidRPr="00D675AC">
        <w:rPr>
          <w:b w:val="0"/>
          <w:bCs/>
        </w:rPr>
        <w:t xml:space="preserve">in </w:t>
      </w:r>
      <w:proofErr w:type="spellStart"/>
      <w:r w:rsidRPr="00D675AC">
        <w:rPr>
          <w:b w:val="0"/>
          <w:bCs/>
        </w:rPr>
        <w:t>absentia</w:t>
      </w:r>
      <w:proofErr w:type="spellEnd"/>
      <w:r w:rsidR="00BA0D28">
        <w:rPr>
          <w:b w:val="0"/>
          <w:bCs/>
        </w:rPr>
        <w:t xml:space="preserve"> </w:t>
      </w:r>
      <w:r w:rsidRPr="00D675AC">
        <w:rPr>
          <w:b w:val="0"/>
          <w:bCs/>
        </w:rPr>
        <w:t>-tuomiot ovat keskeinen osa yhteistoiminalainsäädännön täytäntöönpanoa.</w:t>
      </w:r>
      <w:r>
        <w:rPr>
          <w:b w:val="0"/>
          <w:bCs/>
        </w:rPr>
        <w:t xml:space="preserve"> </w:t>
      </w:r>
      <w:r w:rsidRPr="00D675AC">
        <w:rPr>
          <w:b w:val="0"/>
          <w:bCs/>
        </w:rPr>
        <w:t xml:space="preserve">Human Rights Watch -järjestö on raportoinut </w:t>
      </w:r>
      <w:r w:rsidR="006E7E3D">
        <w:rPr>
          <w:b w:val="0"/>
        </w:rPr>
        <w:t xml:space="preserve">Venäjän </w:t>
      </w:r>
      <w:r w:rsidR="006E7E3D" w:rsidRPr="000C018E">
        <w:rPr>
          <w:b w:val="0"/>
        </w:rPr>
        <w:t>miehitykse</w:t>
      </w:r>
      <w:r w:rsidR="006E7E3D">
        <w:rPr>
          <w:b w:val="0"/>
        </w:rPr>
        <w:t xml:space="preserve">stä vapautetuille alueille palanneiden ukrainalaisten paikallisviranomaisten ottaneen kohteekseen miehityksen ajaksi alueelle </w:t>
      </w:r>
      <w:r w:rsidR="006E7E3D">
        <w:rPr>
          <w:b w:val="0"/>
        </w:rPr>
        <w:lastRenderedPageBreak/>
        <w:t>jääneitä asukkaita sen jälkeen, kun heidät on tutkittu ja vapautettu epäilyistä yhteistoiminnasta annetun lainsäädännön rikkomisesta.</w:t>
      </w:r>
    </w:p>
    <w:bookmarkEnd w:id="0"/>
    <w:p w14:paraId="1349DD5F" w14:textId="546CEBF6" w:rsidR="00082DFE" w:rsidRDefault="00082DFE" w:rsidP="00543F66">
      <w:pPr>
        <w:pStyle w:val="Heading2"/>
        <w:numPr>
          <w:ilvl w:val="0"/>
          <w:numId w:val="0"/>
        </w:numPr>
        <w:rPr>
          <w:lang w:val="en-US"/>
        </w:rPr>
      </w:pPr>
      <w:proofErr w:type="spellStart"/>
      <w:r w:rsidRPr="00F3627B">
        <w:rPr>
          <w:lang w:val="en-US"/>
        </w:rPr>
        <w:t>Lähteet</w:t>
      </w:r>
      <w:proofErr w:type="spellEnd"/>
    </w:p>
    <w:p w14:paraId="3DB5507B" w14:textId="4DCB6ED5" w:rsidR="00B45414" w:rsidRDefault="00B45414" w:rsidP="005C4E37">
      <w:pPr>
        <w:jc w:val="left"/>
        <w:rPr>
          <w:lang w:val="en-US"/>
        </w:rPr>
      </w:pPr>
      <w:r w:rsidRPr="00B45414">
        <w:rPr>
          <w:lang w:val="en-US"/>
        </w:rPr>
        <w:t xml:space="preserve">Amnesty International </w:t>
      </w:r>
      <w:r w:rsidR="009466C6">
        <w:rPr>
          <w:lang w:val="en-US"/>
        </w:rPr>
        <w:t>24.4.</w:t>
      </w:r>
      <w:r w:rsidRPr="00B45414">
        <w:rPr>
          <w:lang w:val="en-US"/>
        </w:rPr>
        <w:t>2024</w:t>
      </w:r>
      <w:r w:rsidR="0022511E">
        <w:rPr>
          <w:lang w:val="en-US"/>
        </w:rPr>
        <w:t xml:space="preserve">. </w:t>
      </w:r>
      <w:r w:rsidRPr="0022511E">
        <w:rPr>
          <w:i/>
          <w:iCs/>
          <w:lang w:val="en-US"/>
        </w:rPr>
        <w:t xml:space="preserve">The state of the world’s human rights. </w:t>
      </w:r>
      <w:hyperlink r:id="rId8" w:history="1">
        <w:r w:rsidRPr="004B7E4B">
          <w:rPr>
            <w:rStyle w:val="Hyperlink"/>
            <w:lang w:val="en-US"/>
          </w:rPr>
          <w:t>https://www.amnesty.org/en/documents/pol10/7200/2024/en/</w:t>
        </w:r>
      </w:hyperlink>
      <w:r>
        <w:rPr>
          <w:lang w:val="en-US"/>
        </w:rPr>
        <w:t xml:space="preserve"> (</w:t>
      </w:r>
      <w:proofErr w:type="spellStart"/>
      <w:r>
        <w:rPr>
          <w:lang w:val="en-US"/>
        </w:rPr>
        <w:t>käyty</w:t>
      </w:r>
      <w:proofErr w:type="spellEnd"/>
      <w:r>
        <w:rPr>
          <w:lang w:val="en-US"/>
        </w:rPr>
        <w:t xml:space="preserve"> 27.2.2025).</w:t>
      </w:r>
    </w:p>
    <w:p w14:paraId="1067B8F9" w14:textId="72307B8B" w:rsidR="00D00216" w:rsidRPr="00D00216" w:rsidRDefault="00D00216" w:rsidP="005C4E37">
      <w:pPr>
        <w:jc w:val="left"/>
      </w:pPr>
      <w:r w:rsidRPr="00D00216">
        <w:rPr>
          <w:lang w:val="en-US"/>
        </w:rPr>
        <w:t xml:space="preserve">CEPA </w:t>
      </w:r>
      <w:r>
        <w:rPr>
          <w:lang w:val="en-US"/>
        </w:rPr>
        <w:t>(</w:t>
      </w:r>
      <w:r w:rsidRPr="00D00216">
        <w:rPr>
          <w:lang w:val="en-US"/>
        </w:rPr>
        <w:t xml:space="preserve">The Center for European Policy Analysis) 25.9.2024. </w:t>
      </w:r>
      <w:r w:rsidRPr="00D00216">
        <w:rPr>
          <w:i/>
          <w:iCs/>
          <w:lang w:val="en-US"/>
        </w:rPr>
        <w:t xml:space="preserve">Whatever Happened to Ukraine’s Pro-Russians? </w:t>
      </w:r>
      <w:hyperlink r:id="rId9" w:history="1">
        <w:r w:rsidRPr="00D00216">
          <w:rPr>
            <w:rStyle w:val="Hyperlink"/>
          </w:rPr>
          <w:t>https://cepa.org/article/whatever-happened-to-ukraines-pro-russians/</w:t>
        </w:r>
      </w:hyperlink>
      <w:r w:rsidRPr="00D00216">
        <w:t xml:space="preserve"> (kä</w:t>
      </w:r>
      <w:r>
        <w:t>yty 20.3.2025).</w:t>
      </w:r>
    </w:p>
    <w:p w14:paraId="72ADA093" w14:textId="61B6C38C" w:rsidR="006B2337" w:rsidRPr="00993E9A" w:rsidRDefault="006629A6" w:rsidP="005C4E37">
      <w:pPr>
        <w:pStyle w:val="FootnoteText"/>
        <w:jc w:val="left"/>
        <w:rPr>
          <w:lang w:val="sv-SE"/>
        </w:rPr>
      </w:pPr>
      <w:r>
        <w:rPr>
          <w:lang w:val="en-US"/>
        </w:rPr>
        <w:t xml:space="preserve">The Danish Immigration Service </w:t>
      </w:r>
      <w:r w:rsidR="006B2337">
        <w:rPr>
          <w:lang w:val="en-US"/>
        </w:rPr>
        <w:t xml:space="preserve">4 / 2024. </w:t>
      </w:r>
      <w:r w:rsidR="006B2337" w:rsidRPr="009E7310">
        <w:rPr>
          <w:i/>
          <w:iCs/>
          <w:lang w:val="en-US"/>
        </w:rPr>
        <w:t xml:space="preserve">Ukraine. </w:t>
      </w:r>
      <w:proofErr w:type="spellStart"/>
      <w:r w:rsidR="006B2337" w:rsidRPr="00993E9A">
        <w:rPr>
          <w:i/>
          <w:iCs/>
          <w:lang w:val="sv-SE"/>
        </w:rPr>
        <w:t>Mobilisation</w:t>
      </w:r>
      <w:proofErr w:type="spellEnd"/>
      <w:r w:rsidR="006B2337" w:rsidRPr="00993E9A">
        <w:rPr>
          <w:i/>
          <w:iCs/>
          <w:lang w:val="sv-SE"/>
        </w:rPr>
        <w:t>.</w:t>
      </w:r>
      <w:r w:rsidR="006B2337" w:rsidRPr="00993E9A">
        <w:rPr>
          <w:lang w:val="sv-SE"/>
        </w:rPr>
        <w:t xml:space="preserve"> </w:t>
      </w:r>
      <w:hyperlink r:id="rId10" w:history="1">
        <w:r w:rsidR="006B2337" w:rsidRPr="00993E9A">
          <w:rPr>
            <w:rStyle w:val="Hyperlink"/>
            <w:lang w:val="sv-SE"/>
          </w:rPr>
          <w:t>https://us.dk/media/t1ihlhsq/ukraine-mobilisation-2024-til-usdk.pdf</w:t>
        </w:r>
      </w:hyperlink>
      <w:r w:rsidR="006B2337" w:rsidRPr="00993E9A">
        <w:rPr>
          <w:lang w:val="sv-SE"/>
        </w:rPr>
        <w:t xml:space="preserve"> (</w:t>
      </w:r>
      <w:proofErr w:type="spellStart"/>
      <w:r w:rsidR="006B2337" w:rsidRPr="00993E9A">
        <w:rPr>
          <w:lang w:val="sv-SE"/>
        </w:rPr>
        <w:t>käyty</w:t>
      </w:r>
      <w:proofErr w:type="spellEnd"/>
      <w:r w:rsidR="006B2337" w:rsidRPr="00993E9A">
        <w:rPr>
          <w:lang w:val="sv-SE"/>
        </w:rPr>
        <w:t xml:space="preserve"> 3.3.2025).</w:t>
      </w:r>
    </w:p>
    <w:p w14:paraId="6AA73C6A" w14:textId="19E33D59" w:rsidR="00510B78" w:rsidRDefault="00F3627B" w:rsidP="005C4E37">
      <w:pPr>
        <w:jc w:val="left"/>
        <w:rPr>
          <w:lang w:val="en-US"/>
        </w:rPr>
      </w:pPr>
      <w:r w:rsidRPr="00BD275C">
        <w:rPr>
          <w:lang w:val="en-US"/>
        </w:rPr>
        <w:t xml:space="preserve">Freedom House </w:t>
      </w:r>
    </w:p>
    <w:p w14:paraId="71A53141" w14:textId="42C9E31E" w:rsidR="00F3627B" w:rsidRDefault="00290A4D" w:rsidP="005C4E37">
      <w:pPr>
        <w:ind w:left="720"/>
        <w:jc w:val="left"/>
      </w:pPr>
      <w:r>
        <w:rPr>
          <w:lang w:val="en-US"/>
        </w:rPr>
        <w:t>2024</w:t>
      </w:r>
      <w:r w:rsidR="001F0B72">
        <w:rPr>
          <w:lang w:val="en-US"/>
        </w:rPr>
        <w:t>a.</w:t>
      </w:r>
      <w:r>
        <w:rPr>
          <w:lang w:val="en-US"/>
        </w:rPr>
        <w:t xml:space="preserve"> </w:t>
      </w:r>
      <w:r w:rsidR="00F3627B" w:rsidRPr="0022511E">
        <w:rPr>
          <w:i/>
          <w:iCs/>
          <w:lang w:val="en-US"/>
        </w:rPr>
        <w:t>Freedom in the world 2024.</w:t>
      </w:r>
      <w:r w:rsidR="00F3627B">
        <w:rPr>
          <w:lang w:val="en-US"/>
        </w:rPr>
        <w:t xml:space="preserve"> </w:t>
      </w:r>
      <w:proofErr w:type="spellStart"/>
      <w:r w:rsidR="00F3627B" w:rsidRPr="0022511E">
        <w:rPr>
          <w:i/>
          <w:iCs/>
        </w:rPr>
        <w:t>Ukraine</w:t>
      </w:r>
      <w:proofErr w:type="spellEnd"/>
      <w:r w:rsidR="00F3627B" w:rsidRPr="0022511E">
        <w:rPr>
          <w:i/>
          <w:iCs/>
        </w:rPr>
        <w:t xml:space="preserve">. </w:t>
      </w:r>
      <w:hyperlink r:id="rId11" w:history="1">
        <w:r w:rsidR="00510B78" w:rsidRPr="00916718">
          <w:rPr>
            <w:rStyle w:val="Hyperlink"/>
          </w:rPr>
          <w:t>https://freedomhouse.org/country/ukraine/freedom-world/2024</w:t>
        </w:r>
      </w:hyperlink>
      <w:r w:rsidR="00F3627B" w:rsidRPr="00F3627B">
        <w:t xml:space="preserve"> (käyty 25.2.2025).</w:t>
      </w:r>
    </w:p>
    <w:p w14:paraId="737FFE6C" w14:textId="25D5834F" w:rsidR="001F0B72" w:rsidRDefault="001F0B72" w:rsidP="005C4E37">
      <w:pPr>
        <w:ind w:left="720"/>
        <w:jc w:val="left"/>
        <w:rPr>
          <w:lang w:val="en-US"/>
        </w:rPr>
      </w:pPr>
      <w:r>
        <w:rPr>
          <w:i/>
          <w:iCs/>
          <w:lang w:val="en-US"/>
        </w:rPr>
        <w:t xml:space="preserve">2024b. </w:t>
      </w:r>
      <w:r w:rsidRPr="001F0B72">
        <w:rPr>
          <w:i/>
          <w:iCs/>
          <w:lang w:val="en-US"/>
        </w:rPr>
        <w:t>Freedom in the World 2024 - Crimea*</w:t>
      </w:r>
      <w:r w:rsidR="00BE31BF">
        <w:rPr>
          <w:i/>
          <w:iCs/>
          <w:lang w:val="en-US"/>
        </w:rPr>
        <w:t>.</w:t>
      </w:r>
      <w:r>
        <w:rPr>
          <w:i/>
          <w:iCs/>
          <w:lang w:val="en-US"/>
        </w:rPr>
        <w:t xml:space="preserve"> </w:t>
      </w:r>
      <w:hyperlink r:id="rId12" w:history="1">
        <w:r w:rsidRPr="001F0B72">
          <w:rPr>
            <w:rStyle w:val="Hyperlink"/>
            <w:lang w:val="en-US"/>
          </w:rPr>
          <w:t>https://freedomhouse.org/country/crimea/freedom-world/2024</w:t>
        </w:r>
      </w:hyperlink>
      <w:r>
        <w:rPr>
          <w:i/>
          <w:iCs/>
          <w:lang w:val="en-US"/>
        </w:rPr>
        <w:t xml:space="preserve">  </w:t>
      </w:r>
      <w:r w:rsidRPr="001F0B72">
        <w:rPr>
          <w:lang w:val="en-US"/>
        </w:rPr>
        <w:t>(</w:t>
      </w:r>
      <w:proofErr w:type="spellStart"/>
      <w:r w:rsidRPr="001F0B72">
        <w:rPr>
          <w:lang w:val="en-US"/>
        </w:rPr>
        <w:t>käyty</w:t>
      </w:r>
      <w:proofErr w:type="spellEnd"/>
      <w:r w:rsidRPr="001F0B72">
        <w:rPr>
          <w:lang w:val="en-US"/>
        </w:rPr>
        <w:t xml:space="preserve"> </w:t>
      </w:r>
      <w:r>
        <w:rPr>
          <w:lang w:val="en-US"/>
        </w:rPr>
        <w:t>18</w:t>
      </w:r>
      <w:r w:rsidRPr="001F0B72">
        <w:rPr>
          <w:lang w:val="en-US"/>
        </w:rPr>
        <w:t>.</w:t>
      </w:r>
      <w:r>
        <w:rPr>
          <w:lang w:val="en-US"/>
        </w:rPr>
        <w:t>3</w:t>
      </w:r>
      <w:r w:rsidRPr="001F0B72">
        <w:rPr>
          <w:lang w:val="en-US"/>
        </w:rPr>
        <w:t>.2025).</w:t>
      </w:r>
    </w:p>
    <w:p w14:paraId="5768001C" w14:textId="0B1B2214" w:rsidR="00621A9B" w:rsidRPr="00621A9B" w:rsidRDefault="00621A9B" w:rsidP="00621A9B">
      <w:pPr>
        <w:ind w:left="720"/>
        <w:jc w:val="left"/>
        <w:rPr>
          <w:lang w:val="en-US"/>
        </w:rPr>
      </w:pPr>
      <w:r w:rsidRPr="00621A9B">
        <w:rPr>
          <w:lang w:val="en-US"/>
        </w:rPr>
        <w:t>2024c.</w:t>
      </w:r>
      <w:r>
        <w:rPr>
          <w:i/>
          <w:iCs/>
          <w:lang w:val="en-US"/>
        </w:rPr>
        <w:t xml:space="preserve"> </w:t>
      </w:r>
      <w:r w:rsidRPr="00621A9B">
        <w:rPr>
          <w:i/>
          <w:iCs/>
          <w:lang w:val="en-US"/>
        </w:rPr>
        <w:t>Freedom in the World 2024 - Eastern Donbas*</w:t>
      </w:r>
      <w:r w:rsidR="00BE31BF">
        <w:rPr>
          <w:i/>
          <w:iCs/>
          <w:lang w:val="en-US"/>
        </w:rPr>
        <w:t>.</w:t>
      </w:r>
      <w:r>
        <w:rPr>
          <w:i/>
          <w:iCs/>
          <w:lang w:val="en-US"/>
        </w:rPr>
        <w:t xml:space="preserve"> </w:t>
      </w:r>
      <w:hyperlink r:id="rId13" w:history="1">
        <w:r w:rsidRPr="00F427D9">
          <w:rPr>
            <w:rStyle w:val="Hyperlink"/>
            <w:lang w:val="en-US"/>
          </w:rPr>
          <w:t>https://freedomhouse.org/country/eastern-donbas/freedom-world/2024</w:t>
        </w:r>
      </w:hyperlink>
      <w:r>
        <w:rPr>
          <w:lang w:val="en-US"/>
        </w:rPr>
        <w:t xml:space="preserve"> </w:t>
      </w:r>
      <w:r w:rsidRPr="001F0B72">
        <w:rPr>
          <w:lang w:val="en-US"/>
        </w:rPr>
        <w:t>(</w:t>
      </w:r>
      <w:proofErr w:type="spellStart"/>
      <w:r w:rsidRPr="001F0B72">
        <w:rPr>
          <w:lang w:val="en-US"/>
        </w:rPr>
        <w:t>käyty</w:t>
      </w:r>
      <w:proofErr w:type="spellEnd"/>
      <w:r w:rsidRPr="001F0B72">
        <w:rPr>
          <w:lang w:val="en-US"/>
        </w:rPr>
        <w:t xml:space="preserve"> </w:t>
      </w:r>
      <w:r>
        <w:rPr>
          <w:lang w:val="en-US"/>
        </w:rPr>
        <w:t>18</w:t>
      </w:r>
      <w:r w:rsidRPr="001F0B72">
        <w:rPr>
          <w:lang w:val="en-US"/>
        </w:rPr>
        <w:t>.</w:t>
      </w:r>
      <w:r>
        <w:rPr>
          <w:lang w:val="en-US"/>
        </w:rPr>
        <w:t>3</w:t>
      </w:r>
      <w:r w:rsidRPr="001F0B72">
        <w:rPr>
          <w:lang w:val="en-US"/>
        </w:rPr>
        <w:t>.2025).</w:t>
      </w:r>
    </w:p>
    <w:p w14:paraId="7BA886C2" w14:textId="5F7D97DD" w:rsidR="00510B78" w:rsidRDefault="00290A4D" w:rsidP="004F687D">
      <w:pPr>
        <w:ind w:left="720"/>
        <w:jc w:val="left"/>
        <w:rPr>
          <w:lang w:val="en-US"/>
        </w:rPr>
      </w:pPr>
      <w:r>
        <w:rPr>
          <w:lang w:val="en-US"/>
        </w:rPr>
        <w:t>16.10.2024</w:t>
      </w:r>
      <w:r w:rsidR="00510B78" w:rsidRPr="00510B78">
        <w:rPr>
          <w:lang w:val="en-US"/>
        </w:rPr>
        <w:t xml:space="preserve">. </w:t>
      </w:r>
      <w:r w:rsidR="00510B78" w:rsidRPr="0022511E">
        <w:rPr>
          <w:i/>
          <w:iCs/>
          <w:lang w:val="en-US"/>
        </w:rPr>
        <w:t xml:space="preserve">Freedom on the net 2024. </w:t>
      </w:r>
      <w:r w:rsidR="00510B78" w:rsidRPr="002400EE">
        <w:rPr>
          <w:i/>
          <w:iCs/>
          <w:lang w:val="en-US"/>
        </w:rPr>
        <w:t xml:space="preserve">Ukraine. </w:t>
      </w:r>
      <w:hyperlink r:id="rId14" w:history="1">
        <w:r w:rsidR="004F687D" w:rsidRPr="00F446A5">
          <w:rPr>
            <w:rStyle w:val="Hyperlink"/>
            <w:lang w:val="en-US"/>
          </w:rPr>
          <w:t>https://freedomhouse.org/country/ukraine/freedom-net/2024</w:t>
        </w:r>
      </w:hyperlink>
      <w:r w:rsidR="004F687D">
        <w:rPr>
          <w:i/>
          <w:iCs/>
          <w:lang w:val="en-US"/>
        </w:rPr>
        <w:t xml:space="preserve"> </w:t>
      </w:r>
      <w:r w:rsidR="004F687D" w:rsidRPr="0059710F">
        <w:rPr>
          <w:rStyle w:val="CommentReference"/>
          <w:lang w:val="en-US"/>
        </w:rPr>
        <w:t xml:space="preserve"> </w:t>
      </w:r>
      <w:proofErr w:type="spellStart"/>
      <w:r w:rsidR="00510B78" w:rsidRPr="002400EE">
        <w:rPr>
          <w:lang w:val="en-US"/>
        </w:rPr>
        <w:t>käyty</w:t>
      </w:r>
      <w:proofErr w:type="spellEnd"/>
      <w:r w:rsidR="00510B78" w:rsidRPr="002400EE">
        <w:rPr>
          <w:lang w:val="en-US"/>
        </w:rPr>
        <w:t xml:space="preserve"> 25.2.2025).</w:t>
      </w:r>
    </w:p>
    <w:p w14:paraId="7037DA8A" w14:textId="3E9D0A82" w:rsidR="00BE31BF" w:rsidRPr="00BE31BF" w:rsidRDefault="00BE31BF" w:rsidP="00BE31BF">
      <w:pPr>
        <w:jc w:val="left"/>
      </w:pPr>
      <w:r w:rsidRPr="001453CE">
        <w:rPr>
          <w:lang w:val="en-US"/>
        </w:rPr>
        <w:t>GOLAW (9.6.2022).</w:t>
      </w:r>
      <w:r w:rsidRPr="00292E35">
        <w:rPr>
          <w:lang w:val="en-US"/>
        </w:rPr>
        <w:t xml:space="preserve"> </w:t>
      </w:r>
      <w:r w:rsidRPr="00292E35">
        <w:rPr>
          <w:i/>
          <w:iCs/>
          <w:lang w:val="en-US"/>
        </w:rPr>
        <w:t xml:space="preserve">The Key Legislative Changes: What has changed in criminal law and procedure in 2022? </w:t>
      </w:r>
      <w:hyperlink r:id="rId15" w:history="1">
        <w:r w:rsidRPr="00292E35">
          <w:rPr>
            <w:rStyle w:val="Hyperlink"/>
          </w:rPr>
          <w:t>https://www.lexology.com/library/detail.aspx?g=83d10eb2-cede-4417-9a3f-9a535949585f</w:t>
        </w:r>
      </w:hyperlink>
      <w:r w:rsidRPr="00292E35">
        <w:t xml:space="preserve"> käyty 20.3.2025).</w:t>
      </w:r>
    </w:p>
    <w:p w14:paraId="3A5C308D" w14:textId="7DBF7313" w:rsidR="002C02F5" w:rsidRDefault="006A7746" w:rsidP="005C4E37">
      <w:pPr>
        <w:jc w:val="left"/>
        <w:rPr>
          <w:lang w:val="en-US"/>
        </w:rPr>
      </w:pPr>
      <w:r w:rsidRPr="006A7746">
        <w:rPr>
          <w:lang w:val="en-US"/>
        </w:rPr>
        <w:t>HR</w:t>
      </w:r>
      <w:r>
        <w:rPr>
          <w:lang w:val="en-US"/>
        </w:rPr>
        <w:t xml:space="preserve">W (Human Rights Watch) </w:t>
      </w:r>
    </w:p>
    <w:p w14:paraId="34AEA8A6" w14:textId="354A0423" w:rsidR="002C02F5" w:rsidRPr="000643F2" w:rsidRDefault="002C02F5" w:rsidP="005C4E37">
      <w:pPr>
        <w:ind w:left="720"/>
        <w:jc w:val="left"/>
        <w:rPr>
          <w:lang w:val="en-US"/>
        </w:rPr>
      </w:pPr>
      <w:r w:rsidRPr="000643F2">
        <w:rPr>
          <w:lang w:val="en-US"/>
        </w:rPr>
        <w:t xml:space="preserve">16.1.2025. </w:t>
      </w:r>
      <w:r w:rsidRPr="009E7310">
        <w:rPr>
          <w:i/>
          <w:iCs/>
          <w:lang w:val="en-US"/>
        </w:rPr>
        <w:t>World Report 2025.</w:t>
      </w:r>
      <w:r>
        <w:rPr>
          <w:lang w:val="en-US"/>
        </w:rPr>
        <w:t xml:space="preserve"> </w:t>
      </w:r>
      <w:r w:rsidRPr="002C02F5">
        <w:rPr>
          <w:i/>
          <w:iCs/>
          <w:lang w:val="en-US"/>
        </w:rPr>
        <w:t>Ukraine. Events of 2024.</w:t>
      </w:r>
      <w:r>
        <w:rPr>
          <w:lang w:val="en-US"/>
        </w:rPr>
        <w:t xml:space="preserve"> </w:t>
      </w:r>
      <w:hyperlink r:id="rId16" w:anchor="49cb3d" w:history="1">
        <w:r w:rsidRPr="000643F2">
          <w:rPr>
            <w:rStyle w:val="Hyperlink"/>
            <w:lang w:val="en-US"/>
          </w:rPr>
          <w:t>https://www.hrw.org/world-report/2025/country-chapters/ukraine#49cb3d</w:t>
        </w:r>
      </w:hyperlink>
      <w:r w:rsidRPr="000643F2">
        <w:rPr>
          <w:lang w:val="en-US"/>
        </w:rPr>
        <w:t xml:space="preserve"> (</w:t>
      </w:r>
      <w:proofErr w:type="spellStart"/>
      <w:r w:rsidRPr="000643F2">
        <w:rPr>
          <w:lang w:val="en-US"/>
        </w:rPr>
        <w:t>käyty</w:t>
      </w:r>
      <w:proofErr w:type="spellEnd"/>
      <w:r w:rsidRPr="000643F2">
        <w:rPr>
          <w:lang w:val="en-US"/>
        </w:rPr>
        <w:t xml:space="preserve"> 6.3.2025).</w:t>
      </w:r>
    </w:p>
    <w:p w14:paraId="2D0EC6C3" w14:textId="26533F3F" w:rsidR="006A7746" w:rsidRDefault="006A7746" w:rsidP="005C4E37">
      <w:pPr>
        <w:ind w:left="720"/>
        <w:jc w:val="left"/>
      </w:pPr>
      <w:r>
        <w:rPr>
          <w:lang w:val="en-US"/>
        </w:rPr>
        <w:t>5.12.2024.</w:t>
      </w:r>
      <w:r w:rsidRPr="006A7746">
        <w:rPr>
          <w:lang w:val="en-US"/>
        </w:rPr>
        <w:t xml:space="preserve"> </w:t>
      </w:r>
      <w:r w:rsidRPr="00B81842">
        <w:rPr>
          <w:i/>
          <w:iCs/>
          <w:lang w:val="en-US"/>
        </w:rPr>
        <w:t xml:space="preserve">“All She Did Was Help </w:t>
      </w:r>
      <w:proofErr w:type="spellStart"/>
      <w:r w:rsidRPr="00B81842">
        <w:rPr>
          <w:i/>
          <w:iCs/>
          <w:lang w:val="en-US"/>
        </w:rPr>
        <w:t>People</w:t>
      </w:r>
      <w:proofErr w:type="gramStart"/>
      <w:r w:rsidRPr="00B81842">
        <w:rPr>
          <w:i/>
          <w:iCs/>
          <w:lang w:val="en-US"/>
        </w:rPr>
        <w:t>”.Flawed</w:t>
      </w:r>
      <w:proofErr w:type="spellEnd"/>
      <w:proofErr w:type="gramEnd"/>
      <w:r w:rsidRPr="00B81842">
        <w:rPr>
          <w:i/>
          <w:iCs/>
          <w:lang w:val="en-US"/>
        </w:rPr>
        <w:t xml:space="preserve"> Anti-Collaboration Legislation in Ukraine.</w:t>
      </w:r>
      <w:r>
        <w:rPr>
          <w:lang w:val="en-US"/>
        </w:rPr>
        <w:t xml:space="preserve">  </w:t>
      </w:r>
      <w:hyperlink r:id="rId17" w:history="1">
        <w:r w:rsidRPr="006A7746">
          <w:rPr>
            <w:rStyle w:val="Hyperlink"/>
          </w:rPr>
          <w:t>https://www.hrw.org/report/2024/12/05/all-she-did-was-help-people/flawed-anti-collaboration-legislation-ukraine</w:t>
        </w:r>
      </w:hyperlink>
      <w:r w:rsidRPr="006A7746">
        <w:t xml:space="preserve"> </w:t>
      </w:r>
      <w:r>
        <w:t>(</w:t>
      </w:r>
      <w:r w:rsidRPr="006A7746">
        <w:t>käyty 4.3.2025).</w:t>
      </w:r>
    </w:p>
    <w:p w14:paraId="62AE19A5" w14:textId="5B6B2B6C" w:rsidR="00BE31BF" w:rsidRDefault="00BE31BF" w:rsidP="00BE31BF">
      <w:pPr>
        <w:jc w:val="left"/>
      </w:pPr>
      <w:r w:rsidRPr="004348EE">
        <w:rPr>
          <w:lang w:val="en-US"/>
        </w:rPr>
        <w:t>Human Rights Centre ZMINA</w:t>
      </w:r>
      <w:r w:rsidR="0004555B">
        <w:rPr>
          <w:lang w:val="en-US"/>
        </w:rPr>
        <w:t xml:space="preserve">; </w:t>
      </w:r>
      <w:r w:rsidRPr="004348EE">
        <w:rPr>
          <w:lang w:val="en-US"/>
        </w:rPr>
        <w:t>Civil Holding GROUP OF INFLUENCE</w:t>
      </w:r>
      <w:r w:rsidR="0004555B">
        <w:rPr>
          <w:lang w:val="en-US"/>
        </w:rPr>
        <w:t>;</w:t>
      </w:r>
      <w:r>
        <w:rPr>
          <w:lang w:val="en-US"/>
        </w:rPr>
        <w:t xml:space="preserve"> </w:t>
      </w:r>
      <w:r w:rsidRPr="004348EE">
        <w:rPr>
          <w:lang w:val="en-US"/>
        </w:rPr>
        <w:t>Donbas SOS</w:t>
      </w:r>
      <w:r w:rsidR="0004555B">
        <w:rPr>
          <w:lang w:val="en-US"/>
        </w:rPr>
        <w:t>;</w:t>
      </w:r>
      <w:r>
        <w:rPr>
          <w:lang w:val="en-US"/>
        </w:rPr>
        <w:t xml:space="preserve"> </w:t>
      </w:r>
      <w:r w:rsidRPr="004348EE">
        <w:rPr>
          <w:lang w:val="en-US"/>
        </w:rPr>
        <w:t>Crimea SOS</w:t>
      </w:r>
      <w:r w:rsidR="0004555B">
        <w:rPr>
          <w:lang w:val="en-US"/>
        </w:rPr>
        <w:t>;</w:t>
      </w:r>
      <w:r>
        <w:rPr>
          <w:lang w:val="en-US"/>
        </w:rPr>
        <w:t xml:space="preserve"> </w:t>
      </w:r>
      <w:proofErr w:type="spellStart"/>
      <w:r w:rsidRPr="004348EE">
        <w:rPr>
          <w:lang w:val="en-US"/>
        </w:rPr>
        <w:t>VostokSOS</w:t>
      </w:r>
      <w:proofErr w:type="spellEnd"/>
      <w:r w:rsidR="0004555B">
        <w:rPr>
          <w:lang w:val="en-US"/>
        </w:rPr>
        <w:t>;</w:t>
      </w:r>
      <w:r>
        <w:rPr>
          <w:lang w:val="en-US"/>
        </w:rPr>
        <w:t xml:space="preserve"> </w:t>
      </w:r>
      <w:r w:rsidRPr="004348EE">
        <w:rPr>
          <w:lang w:val="en-US"/>
        </w:rPr>
        <w:t>Stabilization Support Services</w:t>
      </w:r>
      <w:r>
        <w:rPr>
          <w:lang w:val="en-US"/>
        </w:rPr>
        <w:t xml:space="preserve"> &amp; </w:t>
      </w:r>
      <w:r w:rsidRPr="004348EE">
        <w:rPr>
          <w:lang w:val="en-US"/>
        </w:rPr>
        <w:t>Crimean Human Rights Group</w:t>
      </w:r>
      <w:r>
        <w:rPr>
          <w:lang w:val="en-US"/>
        </w:rPr>
        <w:t xml:space="preserve"> [</w:t>
      </w:r>
      <w:proofErr w:type="spellStart"/>
      <w:r>
        <w:rPr>
          <w:lang w:val="en-US"/>
        </w:rPr>
        <w:t>päiväämätön</w:t>
      </w:r>
      <w:proofErr w:type="spellEnd"/>
      <w:r>
        <w:rPr>
          <w:lang w:val="en-US"/>
        </w:rPr>
        <w:t xml:space="preserve">]. </w:t>
      </w:r>
      <w:r w:rsidRPr="009E7310">
        <w:rPr>
          <w:i/>
          <w:iCs/>
          <w:lang w:val="en-US"/>
        </w:rPr>
        <w:t>CRIMINAL LIABILITY FOR COLLABORATIONISM: analysis of current legislation, practice of its application, and proposals for amendments</w:t>
      </w:r>
      <w:r>
        <w:rPr>
          <w:lang w:val="en-US"/>
        </w:rPr>
        <w:t xml:space="preserve">. </w:t>
      </w:r>
      <w:hyperlink r:id="rId18" w:history="1">
        <w:r w:rsidRPr="00641E39">
          <w:rPr>
            <w:rStyle w:val="Hyperlink"/>
          </w:rPr>
          <w:t>https://zmina.ua/wp-content/uploads/sites/2/2022/12/zvit_zmina_eng-1.pdf</w:t>
        </w:r>
      </w:hyperlink>
      <w:r w:rsidRPr="00641E39">
        <w:t xml:space="preserve"> (käyty 11.3.2025).</w:t>
      </w:r>
    </w:p>
    <w:p w14:paraId="5630D09F" w14:textId="29C05115" w:rsidR="002B169F" w:rsidRDefault="001707E4" w:rsidP="005C4E37">
      <w:pPr>
        <w:jc w:val="left"/>
        <w:rPr>
          <w:lang w:val="en-US"/>
        </w:rPr>
      </w:pPr>
      <w:r w:rsidRPr="001707E4">
        <w:rPr>
          <w:lang w:val="en-US"/>
        </w:rPr>
        <w:t xml:space="preserve">IMI </w:t>
      </w:r>
      <w:r>
        <w:rPr>
          <w:lang w:val="en-US"/>
        </w:rPr>
        <w:t>(Institute of Mass Information)</w:t>
      </w:r>
    </w:p>
    <w:p w14:paraId="51F36CFE" w14:textId="7A0A40CE" w:rsidR="002B169F" w:rsidRPr="002B169F" w:rsidRDefault="002B169F" w:rsidP="005C4E37">
      <w:pPr>
        <w:ind w:left="720"/>
        <w:jc w:val="left"/>
      </w:pPr>
      <w:r>
        <w:rPr>
          <w:lang w:val="en-US"/>
        </w:rPr>
        <w:t xml:space="preserve">24.2.2025. </w:t>
      </w:r>
      <w:r w:rsidRPr="002B169F">
        <w:rPr>
          <w:i/>
          <w:iCs/>
          <w:lang w:val="en-US"/>
        </w:rPr>
        <w:t xml:space="preserve">Russia commits 823 crimes against </w:t>
      </w:r>
      <w:proofErr w:type="spellStart"/>
      <w:r w:rsidRPr="002B169F">
        <w:rPr>
          <w:i/>
          <w:iCs/>
          <w:lang w:val="en-US"/>
        </w:rPr>
        <w:t>journalsits</w:t>
      </w:r>
      <w:proofErr w:type="spellEnd"/>
      <w:r w:rsidRPr="002B169F">
        <w:rPr>
          <w:i/>
          <w:iCs/>
          <w:lang w:val="en-US"/>
        </w:rPr>
        <w:t xml:space="preserve"> and the media in Ukraine in the 3 years of the full-scale war.</w:t>
      </w:r>
      <w:r w:rsidRPr="002B169F">
        <w:rPr>
          <w:lang w:val="en-US"/>
        </w:rPr>
        <w:t xml:space="preserve"> </w:t>
      </w:r>
      <w:hyperlink r:id="rId19" w:history="1">
        <w:r w:rsidRPr="002B169F">
          <w:rPr>
            <w:rStyle w:val="Hyperlink"/>
          </w:rPr>
          <w:t>https://imi.org.ua/en/monitorings/russia-commits-823-crimes-against-journalsits-and-the-media-in-ukraine-in-the-3-years-of-the-full-i66792</w:t>
        </w:r>
      </w:hyperlink>
      <w:r w:rsidRPr="002B169F">
        <w:rPr>
          <w:i/>
          <w:iCs/>
        </w:rPr>
        <w:t xml:space="preserve"> </w:t>
      </w:r>
      <w:r w:rsidRPr="002C02F5">
        <w:t>(käyty 6.3.2025).</w:t>
      </w:r>
    </w:p>
    <w:p w14:paraId="2DDB8AA1" w14:textId="47A199AC" w:rsidR="001707E4" w:rsidRDefault="001707E4" w:rsidP="005C4E37">
      <w:pPr>
        <w:ind w:left="720"/>
        <w:jc w:val="left"/>
      </w:pPr>
      <w:r w:rsidRPr="001707E4">
        <w:rPr>
          <w:lang w:val="en-US"/>
        </w:rPr>
        <w:t xml:space="preserve">13.1.2025. </w:t>
      </w:r>
      <w:r w:rsidRPr="00B81842">
        <w:rPr>
          <w:i/>
          <w:iCs/>
          <w:lang w:val="en-US"/>
        </w:rPr>
        <w:t xml:space="preserve">Freedom of speech in Ukraine 2024 </w:t>
      </w:r>
      <w:proofErr w:type="spellStart"/>
      <w:r w:rsidRPr="00B81842">
        <w:rPr>
          <w:i/>
          <w:iCs/>
          <w:lang w:val="en-US"/>
        </w:rPr>
        <w:t>summarised</w:t>
      </w:r>
      <w:proofErr w:type="spellEnd"/>
      <w:r w:rsidRPr="00B81842">
        <w:rPr>
          <w:i/>
          <w:iCs/>
          <w:lang w:val="en-US"/>
        </w:rPr>
        <w:t>: 268 violations, most committed by Russia.</w:t>
      </w:r>
      <w:r>
        <w:rPr>
          <w:lang w:val="en-US"/>
        </w:rPr>
        <w:t xml:space="preserve"> </w:t>
      </w:r>
      <w:hyperlink r:id="rId20" w:history="1">
        <w:r w:rsidRPr="001707E4">
          <w:rPr>
            <w:rStyle w:val="Hyperlink"/>
          </w:rPr>
          <w:t>https://imi.org.ua/en/monitorings/freedom-of-speech-in-</w:t>
        </w:r>
        <w:r w:rsidRPr="001707E4">
          <w:rPr>
            <w:rStyle w:val="Hyperlink"/>
          </w:rPr>
          <w:lastRenderedPageBreak/>
          <w:t>ukraine-2024-summarised-268-violations-most-committed-by-russia-i66035</w:t>
        </w:r>
      </w:hyperlink>
      <w:r w:rsidRPr="001707E4">
        <w:t xml:space="preserve"> (kä</w:t>
      </w:r>
      <w:r>
        <w:t>yty 4.3.2025).</w:t>
      </w:r>
    </w:p>
    <w:p w14:paraId="49120203" w14:textId="1E12B5DF" w:rsidR="00B45414" w:rsidRDefault="008F3587" w:rsidP="005C4E37">
      <w:pPr>
        <w:jc w:val="left"/>
        <w:rPr>
          <w:lang w:val="en-US"/>
        </w:rPr>
      </w:pPr>
      <w:r>
        <w:rPr>
          <w:lang w:val="en-US"/>
        </w:rPr>
        <w:t>KHPG (</w:t>
      </w:r>
      <w:proofErr w:type="spellStart"/>
      <w:r w:rsidR="00C41F85" w:rsidRPr="00C41F85">
        <w:rPr>
          <w:lang w:val="en-US"/>
        </w:rPr>
        <w:t>Kharkiv</w:t>
      </w:r>
      <w:proofErr w:type="spellEnd"/>
      <w:r w:rsidR="00C41F85" w:rsidRPr="00C41F85">
        <w:rPr>
          <w:lang w:val="en-US"/>
        </w:rPr>
        <w:t xml:space="preserve"> Human Rights Protection Group</w:t>
      </w:r>
      <w:r>
        <w:rPr>
          <w:lang w:val="en-US"/>
        </w:rPr>
        <w:t>)</w:t>
      </w:r>
      <w:r w:rsidR="00C41F85">
        <w:rPr>
          <w:lang w:val="en-US"/>
        </w:rPr>
        <w:t xml:space="preserve"> </w:t>
      </w:r>
    </w:p>
    <w:p w14:paraId="6E4970A8" w14:textId="4ED7DB24" w:rsidR="00D864C2" w:rsidRPr="00497EAC" w:rsidRDefault="00D864C2" w:rsidP="005C4E37">
      <w:pPr>
        <w:pStyle w:val="FootnoteText"/>
        <w:ind w:left="720"/>
        <w:jc w:val="left"/>
        <w:rPr>
          <w:lang w:val="en-US"/>
        </w:rPr>
      </w:pPr>
      <w:r w:rsidRPr="00D864C2">
        <w:rPr>
          <w:lang w:val="en-US"/>
        </w:rPr>
        <w:t>6.2</w:t>
      </w:r>
      <w:r w:rsidR="00D729F1">
        <w:rPr>
          <w:lang w:val="en-US"/>
        </w:rPr>
        <w:t>.</w:t>
      </w:r>
      <w:r w:rsidRPr="00D864C2">
        <w:rPr>
          <w:lang w:val="en-US"/>
        </w:rPr>
        <w:t xml:space="preserve">2025. </w:t>
      </w:r>
      <w:r w:rsidRPr="00D864C2">
        <w:rPr>
          <w:i/>
          <w:iCs/>
          <w:lang w:val="en-US"/>
        </w:rPr>
        <w:t>A janitor, a cook, an informer — who is being tried for collaborating with the enemy?</w:t>
      </w:r>
      <w:r w:rsidRPr="00D864C2">
        <w:rPr>
          <w:lang w:val="en-US"/>
        </w:rPr>
        <w:t xml:space="preserve"> </w:t>
      </w:r>
      <w:hyperlink r:id="rId21" w:history="1">
        <w:r w:rsidRPr="00497EAC">
          <w:rPr>
            <w:rStyle w:val="Hyperlink"/>
            <w:lang w:val="en-US"/>
          </w:rPr>
          <w:t>https://khpg.org/en/1608814386</w:t>
        </w:r>
      </w:hyperlink>
      <w:r w:rsidRPr="00497EAC">
        <w:rPr>
          <w:lang w:val="en-US"/>
        </w:rPr>
        <w:t xml:space="preserve"> (</w:t>
      </w:r>
      <w:proofErr w:type="spellStart"/>
      <w:r w:rsidRPr="00497EAC">
        <w:rPr>
          <w:lang w:val="en-US"/>
        </w:rPr>
        <w:t>käyty</w:t>
      </w:r>
      <w:proofErr w:type="spellEnd"/>
      <w:r w:rsidRPr="00497EAC">
        <w:rPr>
          <w:lang w:val="en-US"/>
        </w:rPr>
        <w:t xml:space="preserve"> 28.2.2025)</w:t>
      </w:r>
    </w:p>
    <w:p w14:paraId="05663382" w14:textId="722F4AE3" w:rsidR="0022511E" w:rsidRDefault="0022511E" w:rsidP="005C4E37">
      <w:pPr>
        <w:ind w:left="720"/>
        <w:jc w:val="left"/>
        <w:rPr>
          <w:lang w:val="en-US"/>
        </w:rPr>
      </w:pPr>
      <w:r w:rsidRPr="00497EAC">
        <w:rPr>
          <w:lang w:val="en-US"/>
        </w:rPr>
        <w:t xml:space="preserve">29.1.2024. </w:t>
      </w:r>
      <w:r w:rsidRPr="0022511E">
        <w:rPr>
          <w:i/>
          <w:iCs/>
          <w:lang w:val="en-US"/>
        </w:rPr>
        <w:t>Prison for ‘likes’ in the social networks? How people are punished in Ukraine for justifying Russian aggression.</w:t>
      </w:r>
      <w:r>
        <w:rPr>
          <w:lang w:val="en-US"/>
        </w:rPr>
        <w:t xml:space="preserve"> </w:t>
      </w:r>
      <w:hyperlink r:id="rId22" w:history="1">
        <w:r w:rsidR="000022BC" w:rsidRPr="00993E9A">
          <w:rPr>
            <w:rStyle w:val="Hyperlink"/>
            <w:lang w:val="en-US"/>
          </w:rPr>
          <w:t>https://khpg.org/en/1608813317</w:t>
        </w:r>
      </w:hyperlink>
      <w:r w:rsidR="009E2CA2" w:rsidRPr="00993E9A">
        <w:rPr>
          <w:lang w:val="en-US"/>
        </w:rPr>
        <w:t xml:space="preserve"> (</w:t>
      </w:r>
      <w:proofErr w:type="spellStart"/>
      <w:r w:rsidR="009E2CA2" w:rsidRPr="00993E9A">
        <w:rPr>
          <w:lang w:val="en-US"/>
        </w:rPr>
        <w:t>käyty</w:t>
      </w:r>
      <w:proofErr w:type="spellEnd"/>
      <w:r w:rsidR="009E2CA2" w:rsidRPr="00993E9A">
        <w:rPr>
          <w:lang w:val="en-US"/>
        </w:rPr>
        <w:t xml:space="preserve"> 3.3. 2025)</w:t>
      </w:r>
      <w:r w:rsidRPr="00993E9A">
        <w:rPr>
          <w:lang w:val="en-US"/>
        </w:rPr>
        <w:t>.</w:t>
      </w:r>
    </w:p>
    <w:p w14:paraId="7404748D" w14:textId="738AF0FF" w:rsidR="003F403D" w:rsidRDefault="003F403D" w:rsidP="003F403D">
      <w:pPr>
        <w:pStyle w:val="LeiptekstiMigri"/>
        <w:ind w:left="720"/>
        <w:rPr>
          <w:lang w:val="en-US"/>
        </w:rPr>
      </w:pPr>
      <w:r>
        <w:rPr>
          <w:lang w:val="en-US"/>
        </w:rPr>
        <w:t xml:space="preserve">21.1.2021 </w:t>
      </w:r>
      <w:r w:rsidRPr="008A7F8C">
        <w:rPr>
          <w:i/>
          <w:iCs/>
          <w:lang w:val="en-US"/>
        </w:rPr>
        <w:t xml:space="preserve">Application practice of Article 109 of the Criminal Code of Ukraine. </w:t>
      </w:r>
      <w:hyperlink r:id="rId23" w:history="1">
        <w:r w:rsidRPr="002033A0">
          <w:rPr>
            <w:rStyle w:val="Hyperlink"/>
            <w:lang w:val="en-US"/>
          </w:rPr>
          <w:t>https://khpg.org/en/1608808760</w:t>
        </w:r>
      </w:hyperlink>
      <w:r>
        <w:rPr>
          <w:lang w:val="en-US"/>
        </w:rPr>
        <w:t xml:space="preserve"> (</w:t>
      </w:r>
      <w:proofErr w:type="spellStart"/>
      <w:r>
        <w:rPr>
          <w:lang w:val="en-US"/>
        </w:rPr>
        <w:t>käyty</w:t>
      </w:r>
      <w:proofErr w:type="spellEnd"/>
      <w:r>
        <w:rPr>
          <w:lang w:val="en-US"/>
        </w:rPr>
        <w:t xml:space="preserve"> 20.3.2025).</w:t>
      </w:r>
    </w:p>
    <w:p w14:paraId="1B58EC70" w14:textId="438D1664" w:rsidR="003F403D" w:rsidRPr="001453CE" w:rsidRDefault="003F403D" w:rsidP="003F403D">
      <w:pPr>
        <w:pStyle w:val="LeiptekstiMigri"/>
        <w:ind w:left="720"/>
        <w:rPr>
          <w:lang w:val="en-US"/>
        </w:rPr>
      </w:pPr>
      <w:r w:rsidRPr="00822B44">
        <w:rPr>
          <w:lang w:val="en-US"/>
        </w:rPr>
        <w:t xml:space="preserve">20.1.2021. </w:t>
      </w:r>
      <w:r>
        <w:rPr>
          <w:lang w:val="en-US"/>
        </w:rPr>
        <w:t xml:space="preserve"> </w:t>
      </w:r>
      <w:r w:rsidRPr="008A7F8C">
        <w:rPr>
          <w:i/>
          <w:iCs/>
          <w:lang w:val="en-US"/>
        </w:rPr>
        <w:t xml:space="preserve">Application practice of Article 110 of the Criminal Code of Ukraine. </w:t>
      </w:r>
      <w:hyperlink r:id="rId24" w:history="1">
        <w:r w:rsidRPr="002033A0">
          <w:rPr>
            <w:rStyle w:val="Hyperlink"/>
            <w:lang w:val="en-US"/>
          </w:rPr>
          <w:t>https://khpg.org/en/1608808757</w:t>
        </w:r>
      </w:hyperlink>
      <w:r>
        <w:rPr>
          <w:lang w:val="en-US"/>
        </w:rPr>
        <w:t xml:space="preserve"> (</w:t>
      </w:r>
      <w:proofErr w:type="spellStart"/>
      <w:r>
        <w:rPr>
          <w:lang w:val="en-US"/>
        </w:rPr>
        <w:t>käyty</w:t>
      </w:r>
      <w:proofErr w:type="spellEnd"/>
      <w:r>
        <w:rPr>
          <w:lang w:val="en-US"/>
        </w:rPr>
        <w:t xml:space="preserve"> 20.3.2025).</w:t>
      </w:r>
    </w:p>
    <w:p w14:paraId="59C24EC3" w14:textId="77777777" w:rsidR="004E26FF" w:rsidRDefault="004E26FF" w:rsidP="004E26FF">
      <w:pPr>
        <w:jc w:val="left"/>
        <w:rPr>
          <w:lang w:val="en-US"/>
        </w:rPr>
      </w:pPr>
      <w:r w:rsidRPr="004F67AA">
        <w:rPr>
          <w:lang w:val="en-US"/>
        </w:rPr>
        <w:t xml:space="preserve">Kyiv Independent </w:t>
      </w:r>
    </w:p>
    <w:p w14:paraId="572F6DA8" w14:textId="3780C4C3" w:rsidR="004E26FF" w:rsidRPr="004E26FF" w:rsidRDefault="004E26FF" w:rsidP="004E26FF">
      <w:pPr>
        <w:ind w:left="720"/>
        <w:jc w:val="left"/>
      </w:pPr>
      <w:r w:rsidRPr="004F67AA">
        <w:rPr>
          <w:lang w:val="en-US"/>
        </w:rPr>
        <w:t>26.7.2023</w:t>
      </w:r>
      <w:r>
        <w:rPr>
          <w:lang w:val="en-US"/>
        </w:rPr>
        <w:t>.</w:t>
      </w:r>
      <w:r w:rsidRPr="004E26FF">
        <w:rPr>
          <w:lang w:val="en-US"/>
        </w:rPr>
        <w:t xml:space="preserve"> </w:t>
      </w:r>
      <w:r w:rsidRPr="004E26FF">
        <w:rPr>
          <w:i/>
          <w:iCs/>
          <w:lang w:val="en-US"/>
        </w:rPr>
        <w:t>Former co-chair of banned pro-Russian party charged with treason.</w:t>
      </w:r>
      <w:r w:rsidRPr="004E26FF">
        <w:rPr>
          <w:lang w:val="en-US"/>
        </w:rPr>
        <w:t xml:space="preserve"> </w:t>
      </w:r>
      <w:hyperlink r:id="rId25" w:history="1">
        <w:r w:rsidRPr="004E26FF">
          <w:rPr>
            <w:rStyle w:val="Hyperlink"/>
          </w:rPr>
          <w:t>https://kyivindependent.com/ex-mp-of-banned-pro-russian-party-charged-with-treason/</w:t>
        </w:r>
      </w:hyperlink>
      <w:r w:rsidRPr="004E26FF">
        <w:t xml:space="preserve">  (kä</w:t>
      </w:r>
      <w:r>
        <w:t>yty 20.3.2025).</w:t>
      </w:r>
    </w:p>
    <w:p w14:paraId="21C01CCA" w14:textId="0DF7F235" w:rsidR="004E26FF" w:rsidRPr="004E26FF" w:rsidRDefault="004E26FF" w:rsidP="004E26FF">
      <w:pPr>
        <w:ind w:left="720"/>
        <w:jc w:val="left"/>
        <w:rPr>
          <w:i/>
          <w:iCs/>
        </w:rPr>
      </w:pPr>
      <w:r w:rsidRPr="00993E9A">
        <w:rPr>
          <w:lang w:val="en-US"/>
        </w:rPr>
        <w:t xml:space="preserve">25.7.2023. </w:t>
      </w:r>
      <w:r w:rsidRPr="004E26FF">
        <w:rPr>
          <w:i/>
          <w:iCs/>
          <w:lang w:val="en-US"/>
        </w:rPr>
        <w:t xml:space="preserve">SBU charges ex-MP </w:t>
      </w:r>
      <w:proofErr w:type="spellStart"/>
      <w:r w:rsidRPr="004E26FF">
        <w:rPr>
          <w:i/>
          <w:iCs/>
          <w:lang w:val="en-US"/>
        </w:rPr>
        <w:t>Muraiev</w:t>
      </w:r>
      <w:proofErr w:type="spellEnd"/>
      <w:r w:rsidRPr="004E26FF">
        <w:rPr>
          <w:i/>
          <w:iCs/>
          <w:lang w:val="en-US"/>
        </w:rPr>
        <w:t xml:space="preserve"> with treason.</w:t>
      </w:r>
      <w:r>
        <w:rPr>
          <w:i/>
          <w:iCs/>
          <w:lang w:val="en-US"/>
        </w:rPr>
        <w:t xml:space="preserve"> </w:t>
      </w:r>
      <w:hyperlink r:id="rId26" w:history="1">
        <w:r w:rsidRPr="004E26FF">
          <w:rPr>
            <w:rStyle w:val="Hyperlink"/>
          </w:rPr>
          <w:t>https://kyivindependent.com/sbu-charges-ex-mp-muraiev-with-treason/</w:t>
        </w:r>
      </w:hyperlink>
      <w:r w:rsidRPr="004E26FF">
        <w:rPr>
          <w:i/>
          <w:iCs/>
        </w:rPr>
        <w:t xml:space="preserve"> </w:t>
      </w:r>
      <w:r w:rsidRPr="004E26FF">
        <w:t>(kä</w:t>
      </w:r>
      <w:r>
        <w:t>yty 20.3.2025).</w:t>
      </w:r>
    </w:p>
    <w:p w14:paraId="13364C23" w14:textId="1C281785" w:rsidR="00146228" w:rsidRPr="000643F2" w:rsidRDefault="00146228" w:rsidP="005C4E37">
      <w:pPr>
        <w:jc w:val="left"/>
      </w:pPr>
      <w:r w:rsidRPr="000643F2">
        <w:t>Maahanmuuttoviraston maatietopalvelu</w:t>
      </w:r>
    </w:p>
    <w:p w14:paraId="2EFCDF5C" w14:textId="0B908050" w:rsidR="00146228" w:rsidRDefault="00146228" w:rsidP="005C4E37">
      <w:pPr>
        <w:ind w:left="720"/>
        <w:jc w:val="left"/>
      </w:pPr>
      <w:r w:rsidRPr="00146228">
        <w:t xml:space="preserve">21.3.2023. </w:t>
      </w:r>
      <w:r w:rsidRPr="000348C3">
        <w:rPr>
          <w:i/>
          <w:iCs/>
        </w:rPr>
        <w:t>Venäjä / Aktivistit ja Ukrainan sodan vastustamiseen liittyvän lainsäädännön soveltaminen Venäjällä.</w:t>
      </w:r>
      <w:r w:rsidRPr="00146228">
        <w:t xml:space="preserve"> </w:t>
      </w:r>
      <w:hyperlink r:id="rId27" w:history="1">
        <w:r w:rsidRPr="008F0701">
          <w:rPr>
            <w:rStyle w:val="Hyperlink"/>
          </w:rPr>
          <w:t>https://maatieto.migri.fi/base/2724d19a-5460-485d-bff8-6cd8f75f86d5/countryDocument/bd0e9924-8390-487e-8391-b4a5a36fc224</w:t>
        </w:r>
      </w:hyperlink>
      <w:r>
        <w:t xml:space="preserve"> </w:t>
      </w:r>
      <w:r w:rsidRPr="00146228">
        <w:t xml:space="preserve"> (</w:t>
      </w:r>
      <w:r w:rsidR="0060716A">
        <w:t>k</w:t>
      </w:r>
      <w:r w:rsidRPr="00146228">
        <w:t xml:space="preserve">äyty </w:t>
      </w:r>
      <w:r w:rsidR="0060716A">
        <w:t>6</w:t>
      </w:r>
      <w:r w:rsidRPr="00146228">
        <w:t>.</w:t>
      </w:r>
      <w:r w:rsidR="0060716A">
        <w:t>3</w:t>
      </w:r>
      <w:r w:rsidRPr="00146228">
        <w:t>.202</w:t>
      </w:r>
      <w:r w:rsidR="0060716A">
        <w:t>5</w:t>
      </w:r>
      <w:r w:rsidRPr="00146228">
        <w:t>).</w:t>
      </w:r>
    </w:p>
    <w:p w14:paraId="1F94D3E5" w14:textId="09592D03" w:rsidR="0060716A" w:rsidRPr="00BB4AA4" w:rsidRDefault="0060716A" w:rsidP="005C4E37">
      <w:pPr>
        <w:ind w:left="720"/>
        <w:jc w:val="left"/>
      </w:pPr>
      <w:r>
        <w:t xml:space="preserve">12.5.2022. </w:t>
      </w:r>
      <w:r w:rsidRPr="000348C3">
        <w:rPr>
          <w:i/>
          <w:iCs/>
        </w:rPr>
        <w:t>Venäjä / Ukrainan sodan vaikutukset lainsäädäntöön sekä poliittisten aktivistien tilanteeseen Venäjällä.</w:t>
      </w:r>
      <w:r>
        <w:t xml:space="preserve"> </w:t>
      </w:r>
      <w:r w:rsidR="00BB4AA4" w:rsidRPr="00BB4AA4">
        <w:t xml:space="preserve"> </w:t>
      </w:r>
      <w:hyperlink r:id="rId28" w:history="1">
        <w:r w:rsidR="00BB4AA4" w:rsidRPr="00BB4AA4">
          <w:rPr>
            <w:rStyle w:val="Hyperlink"/>
          </w:rPr>
          <w:t>https://maatieto.migri.fi/base/2724d19a-5460-485d-bff8-6cd8f75f86d5/countryDocument/c788871a-423e-4799-9ddf-786c8be9158e</w:t>
        </w:r>
      </w:hyperlink>
      <w:r w:rsidR="00BB4AA4" w:rsidRPr="00BB4AA4">
        <w:t xml:space="preserve"> (</w:t>
      </w:r>
      <w:r w:rsidR="00BB4AA4">
        <w:t>käyty 20.3.2025).</w:t>
      </w:r>
    </w:p>
    <w:p w14:paraId="407C0F06" w14:textId="3C8E2D35" w:rsidR="00256030" w:rsidRPr="002400EE" w:rsidRDefault="001D53CC" w:rsidP="004E26FF">
      <w:pPr>
        <w:jc w:val="left"/>
      </w:pPr>
      <w:r w:rsidRPr="001D53CC">
        <w:rPr>
          <w:lang w:val="en-US"/>
        </w:rPr>
        <w:t xml:space="preserve">Reporters Without Borders </w:t>
      </w:r>
      <w:r w:rsidR="008A5455">
        <w:rPr>
          <w:lang w:val="en-US"/>
        </w:rPr>
        <w:t>[</w:t>
      </w:r>
      <w:proofErr w:type="spellStart"/>
      <w:r w:rsidR="005E5BDC">
        <w:rPr>
          <w:lang w:val="en-US"/>
        </w:rPr>
        <w:t>p</w:t>
      </w:r>
      <w:r w:rsidR="0026713C">
        <w:rPr>
          <w:lang w:val="en-US"/>
        </w:rPr>
        <w:t>äivitetty</w:t>
      </w:r>
      <w:proofErr w:type="spellEnd"/>
      <w:r w:rsidR="0026713C">
        <w:rPr>
          <w:lang w:val="en-US"/>
        </w:rPr>
        <w:t xml:space="preserve"> 6.2.2024</w:t>
      </w:r>
      <w:r w:rsidR="008A5455">
        <w:rPr>
          <w:lang w:val="en-US"/>
        </w:rPr>
        <w:t>]</w:t>
      </w:r>
      <w:r w:rsidR="0026713C">
        <w:rPr>
          <w:lang w:val="en-US"/>
        </w:rPr>
        <w:t xml:space="preserve">. </w:t>
      </w:r>
      <w:r w:rsidR="0026713C" w:rsidRPr="0026713C">
        <w:rPr>
          <w:i/>
          <w:iCs/>
          <w:lang w:val="en-US"/>
        </w:rPr>
        <w:t xml:space="preserve">Ukraine: RSF alarmed by a series of attempts to intimidate investigative journalists. </w:t>
      </w:r>
      <w:hyperlink r:id="rId29" w:history="1">
        <w:r w:rsidR="0026713C" w:rsidRPr="008F0701">
          <w:rPr>
            <w:rStyle w:val="Hyperlink"/>
          </w:rPr>
          <w:t>https://rsf.org/en/ukraine-rsf-alarmed-series-attempts-intimidate-investigative-journalists</w:t>
        </w:r>
      </w:hyperlink>
      <w:r w:rsidR="0026713C" w:rsidRPr="0026713C">
        <w:t xml:space="preserve"> (käyty 3.3. </w:t>
      </w:r>
      <w:r w:rsidR="0026713C" w:rsidRPr="002400EE">
        <w:t>2025).</w:t>
      </w:r>
    </w:p>
    <w:p w14:paraId="1D033C7E" w14:textId="0D60334F" w:rsidR="009D7458" w:rsidRPr="00BE31BF" w:rsidRDefault="00F54D62" w:rsidP="005C4E37">
      <w:pPr>
        <w:pStyle w:val="FootnoteText"/>
        <w:jc w:val="left"/>
      </w:pPr>
      <w:proofErr w:type="spellStart"/>
      <w:r w:rsidRPr="002400EE">
        <w:t>Syniuk</w:t>
      </w:r>
      <w:proofErr w:type="spellEnd"/>
      <w:r w:rsidR="00BE31BF">
        <w:t>,</w:t>
      </w:r>
      <w:r w:rsidRPr="002400EE">
        <w:t xml:space="preserve"> </w:t>
      </w:r>
      <w:proofErr w:type="spellStart"/>
      <w:r w:rsidRPr="002400EE">
        <w:t>O</w:t>
      </w:r>
      <w:r w:rsidR="003D62B3" w:rsidRPr="002400EE">
        <w:t>nyysiia</w:t>
      </w:r>
      <w:proofErr w:type="spellEnd"/>
      <w:r w:rsidR="00BE31BF">
        <w:t xml:space="preserve">; </w:t>
      </w:r>
      <w:proofErr w:type="spellStart"/>
      <w:r w:rsidRPr="002400EE">
        <w:t>Deputat</w:t>
      </w:r>
      <w:proofErr w:type="spellEnd"/>
      <w:r w:rsidR="00BE31BF">
        <w:t>,</w:t>
      </w:r>
      <w:r w:rsidRPr="002400EE">
        <w:t xml:space="preserve"> D</w:t>
      </w:r>
      <w:r w:rsidR="003D62B3" w:rsidRPr="002400EE">
        <w:t>iana</w:t>
      </w:r>
      <w:r w:rsidR="00BE31BF">
        <w:t>;</w:t>
      </w:r>
      <w:r w:rsidRPr="002400EE">
        <w:t xml:space="preserve"> </w:t>
      </w:r>
      <w:proofErr w:type="spellStart"/>
      <w:r w:rsidRPr="002400EE">
        <w:t>Vyshnevska</w:t>
      </w:r>
      <w:proofErr w:type="spellEnd"/>
      <w:r w:rsidRPr="002400EE">
        <w:t xml:space="preserve"> I</w:t>
      </w:r>
      <w:r w:rsidR="003D62B3" w:rsidRPr="002400EE">
        <w:t>nna</w:t>
      </w:r>
      <w:r w:rsidR="00BE31BF">
        <w:t xml:space="preserve">; </w:t>
      </w:r>
      <w:proofErr w:type="spellStart"/>
      <w:r w:rsidRPr="002400EE">
        <w:t>Volkovynska</w:t>
      </w:r>
      <w:proofErr w:type="spellEnd"/>
      <w:r w:rsidR="00BE31BF">
        <w:t xml:space="preserve">, </w:t>
      </w:r>
      <w:r w:rsidRPr="002400EE">
        <w:t>V</w:t>
      </w:r>
      <w:r w:rsidR="003D62B3" w:rsidRPr="002400EE">
        <w:t>eronika</w:t>
      </w:r>
      <w:r w:rsidR="00BE31BF">
        <w:t xml:space="preserve">; </w:t>
      </w:r>
      <w:proofErr w:type="spellStart"/>
      <w:r w:rsidRPr="002400EE">
        <w:t>Chervonna</w:t>
      </w:r>
      <w:proofErr w:type="spellEnd"/>
      <w:r w:rsidR="00BE31BF">
        <w:t>,</w:t>
      </w:r>
      <w:r w:rsidRPr="002400EE">
        <w:t xml:space="preserve"> </w:t>
      </w:r>
      <w:proofErr w:type="spellStart"/>
      <w:r w:rsidRPr="002400EE">
        <w:t>V</w:t>
      </w:r>
      <w:r w:rsidR="003D62B3" w:rsidRPr="002400EE">
        <w:t>iktoriia</w:t>
      </w:r>
      <w:proofErr w:type="spellEnd"/>
      <w:r w:rsidRPr="002400EE">
        <w:t xml:space="preserve"> &amp; </w:t>
      </w:r>
      <w:proofErr w:type="spellStart"/>
      <w:r w:rsidRPr="002400EE">
        <w:t>Yelihulashvili</w:t>
      </w:r>
      <w:proofErr w:type="spellEnd"/>
      <w:r w:rsidR="00BE31BF">
        <w:t>,</w:t>
      </w:r>
      <w:r w:rsidRPr="002400EE">
        <w:t xml:space="preserve"> </w:t>
      </w:r>
      <w:proofErr w:type="spellStart"/>
      <w:r w:rsidR="003D62B3" w:rsidRPr="002400EE">
        <w:t>Maksym</w:t>
      </w:r>
      <w:proofErr w:type="spellEnd"/>
      <w:r w:rsidRPr="002400EE">
        <w:t xml:space="preserve">. </w:t>
      </w:r>
      <w:r w:rsidRPr="00BE31BF">
        <w:t xml:space="preserve">2024. </w:t>
      </w:r>
      <w:proofErr w:type="spellStart"/>
      <w:r w:rsidRPr="00BE31BF">
        <w:rPr>
          <w:i/>
          <w:iCs/>
        </w:rPr>
        <w:t>Survival</w:t>
      </w:r>
      <w:proofErr w:type="spellEnd"/>
      <w:r w:rsidRPr="00BE31BF">
        <w:rPr>
          <w:i/>
          <w:iCs/>
        </w:rPr>
        <w:t xml:space="preserve"> </w:t>
      </w:r>
      <w:proofErr w:type="spellStart"/>
      <w:r w:rsidRPr="00BE31BF">
        <w:rPr>
          <w:i/>
          <w:iCs/>
        </w:rPr>
        <w:t>or</w:t>
      </w:r>
      <w:proofErr w:type="spellEnd"/>
      <w:r w:rsidRPr="00BE31BF">
        <w:rPr>
          <w:i/>
          <w:iCs/>
        </w:rPr>
        <w:t xml:space="preserve"> </w:t>
      </w:r>
      <w:proofErr w:type="spellStart"/>
      <w:r w:rsidRPr="00BE31BF">
        <w:rPr>
          <w:i/>
          <w:iCs/>
        </w:rPr>
        <w:t>crime</w:t>
      </w:r>
      <w:proofErr w:type="spellEnd"/>
      <w:r w:rsidRPr="00BE31BF">
        <w:rPr>
          <w:i/>
          <w:iCs/>
        </w:rPr>
        <w:t xml:space="preserve">: </w:t>
      </w:r>
      <w:proofErr w:type="spellStart"/>
      <w:r w:rsidRPr="00BE31BF">
        <w:rPr>
          <w:i/>
          <w:iCs/>
        </w:rPr>
        <w:t>how</w:t>
      </w:r>
      <w:proofErr w:type="spellEnd"/>
      <w:r w:rsidRPr="00BE31BF">
        <w:rPr>
          <w:i/>
          <w:iCs/>
        </w:rPr>
        <w:t xml:space="preserve"> </w:t>
      </w:r>
      <w:proofErr w:type="spellStart"/>
      <w:r w:rsidRPr="00BE31BF">
        <w:rPr>
          <w:i/>
          <w:iCs/>
        </w:rPr>
        <w:t>Ukraine</w:t>
      </w:r>
      <w:proofErr w:type="spellEnd"/>
      <w:r w:rsidRPr="00BE31BF">
        <w:rPr>
          <w:i/>
          <w:iCs/>
        </w:rPr>
        <w:t xml:space="preserve"> </w:t>
      </w:r>
      <w:proofErr w:type="spellStart"/>
      <w:r w:rsidRPr="00BE31BF">
        <w:rPr>
          <w:i/>
          <w:iCs/>
        </w:rPr>
        <w:t>punishes</w:t>
      </w:r>
      <w:proofErr w:type="spellEnd"/>
      <w:r w:rsidRPr="00BE31BF">
        <w:rPr>
          <w:i/>
          <w:iCs/>
        </w:rPr>
        <w:t xml:space="preserve"> </w:t>
      </w:r>
      <w:proofErr w:type="spellStart"/>
      <w:r w:rsidRPr="00BE31BF">
        <w:rPr>
          <w:i/>
          <w:iCs/>
        </w:rPr>
        <w:t>collaborationism</w:t>
      </w:r>
      <w:proofErr w:type="spellEnd"/>
      <w:r w:rsidRPr="00BE31BF">
        <w:rPr>
          <w:i/>
          <w:iCs/>
        </w:rPr>
        <w:t xml:space="preserve">? </w:t>
      </w:r>
      <w:r w:rsidRPr="00F3224D">
        <w:rPr>
          <w:i/>
          <w:iCs/>
          <w:lang w:val="en-US"/>
        </w:rPr>
        <w:t>Analytical report.</w:t>
      </w:r>
      <w:r>
        <w:rPr>
          <w:lang w:val="en-US"/>
        </w:rPr>
        <w:t xml:space="preserve"> </w:t>
      </w:r>
      <w:proofErr w:type="spellStart"/>
      <w:r w:rsidR="00BE31BF" w:rsidRPr="002400EE">
        <w:t>Editor</w:t>
      </w:r>
      <w:proofErr w:type="spellEnd"/>
      <w:r w:rsidR="00BE31BF" w:rsidRPr="002400EE">
        <w:t xml:space="preserve"> – </w:t>
      </w:r>
      <w:proofErr w:type="spellStart"/>
      <w:r w:rsidR="00BE31BF" w:rsidRPr="002400EE">
        <w:t>Lunova</w:t>
      </w:r>
      <w:proofErr w:type="spellEnd"/>
      <w:r w:rsidR="00BE31BF" w:rsidRPr="002400EE">
        <w:t xml:space="preserve"> Alena</w:t>
      </w:r>
      <w:r w:rsidR="00BE31BF">
        <w:t xml:space="preserve">. </w:t>
      </w:r>
      <w:hyperlink r:id="rId30" w:history="1">
        <w:r w:rsidRPr="00BE31BF">
          <w:rPr>
            <w:rStyle w:val="Hyperlink"/>
          </w:rPr>
          <w:t>https://zmina.ua/wp-content/uploads/sites/2/2024/07/colaboratz_print_eng.pdf</w:t>
        </w:r>
      </w:hyperlink>
      <w:r w:rsidR="00883446" w:rsidRPr="00BE31BF">
        <w:t xml:space="preserve"> </w:t>
      </w:r>
      <w:r w:rsidR="00883446" w:rsidRPr="00BE31BF">
        <w:rPr>
          <w:rStyle w:val="Hyperlink"/>
          <w:color w:val="auto"/>
          <w:u w:val="none"/>
        </w:rPr>
        <w:t>(käyty 17.3.2025).</w:t>
      </w:r>
    </w:p>
    <w:p w14:paraId="02D9CE3E" w14:textId="64649308" w:rsidR="00976B04" w:rsidRPr="00BE31BF" w:rsidRDefault="00976B04" w:rsidP="005C4E37">
      <w:pPr>
        <w:jc w:val="left"/>
        <w:rPr>
          <w:color w:val="0563C1" w:themeColor="hyperlink"/>
          <w:u w:val="single"/>
        </w:rPr>
      </w:pPr>
      <w:proofErr w:type="spellStart"/>
      <w:r w:rsidRPr="008D40C6">
        <w:rPr>
          <w:rStyle w:val="Hyperlink"/>
          <w:color w:val="auto"/>
          <w:u w:val="none"/>
          <w:lang w:val="en-US"/>
        </w:rPr>
        <w:t>Syniuk</w:t>
      </w:r>
      <w:proofErr w:type="spellEnd"/>
      <w:r w:rsidRPr="008D40C6">
        <w:rPr>
          <w:rStyle w:val="Hyperlink"/>
          <w:color w:val="auto"/>
          <w:u w:val="none"/>
          <w:lang w:val="en-US"/>
        </w:rPr>
        <w:t xml:space="preserve"> O. &amp; </w:t>
      </w:r>
      <w:proofErr w:type="spellStart"/>
      <w:r w:rsidRPr="008D40C6">
        <w:rPr>
          <w:rStyle w:val="Hyperlink"/>
          <w:color w:val="auto"/>
          <w:u w:val="none"/>
          <w:lang w:val="en-US"/>
        </w:rPr>
        <w:t>Lunova</w:t>
      </w:r>
      <w:proofErr w:type="spellEnd"/>
      <w:r w:rsidRPr="008D40C6">
        <w:rPr>
          <w:rStyle w:val="Hyperlink"/>
          <w:color w:val="auto"/>
          <w:u w:val="none"/>
          <w:lang w:val="en-US"/>
        </w:rPr>
        <w:t xml:space="preserve">, O. </w:t>
      </w:r>
      <w:r w:rsidR="003D62B3">
        <w:rPr>
          <w:rStyle w:val="Hyperlink"/>
          <w:color w:val="auto"/>
          <w:u w:val="none"/>
          <w:lang w:val="en-US"/>
        </w:rPr>
        <w:t>9/</w:t>
      </w:r>
      <w:r w:rsidRPr="008D40C6">
        <w:rPr>
          <w:rStyle w:val="Hyperlink"/>
          <w:color w:val="auto"/>
          <w:u w:val="none"/>
          <w:lang w:val="en-US"/>
        </w:rPr>
        <w:t xml:space="preserve">2023. </w:t>
      </w:r>
      <w:r w:rsidRPr="00A138FF">
        <w:rPr>
          <w:i/>
          <w:iCs/>
          <w:lang w:val="en-US"/>
        </w:rPr>
        <w:t>Collaborationism and abetting the aggressor state: practice of legislative application and prospects for improvement. Analytical report</w:t>
      </w:r>
      <w:r>
        <w:rPr>
          <w:i/>
          <w:iCs/>
          <w:lang w:val="en-US"/>
        </w:rPr>
        <w:t xml:space="preserve">. </w:t>
      </w:r>
      <w:r w:rsidRPr="00FF1B05">
        <w:rPr>
          <w:lang w:val="en-US"/>
        </w:rPr>
        <w:t xml:space="preserve">Ed. D. </w:t>
      </w:r>
      <w:proofErr w:type="spellStart"/>
      <w:r w:rsidRPr="00FF1B05">
        <w:rPr>
          <w:lang w:val="en-US"/>
        </w:rPr>
        <w:t>Svyrydova</w:t>
      </w:r>
      <w:proofErr w:type="spellEnd"/>
      <w:r w:rsidRPr="00FF1B05">
        <w:rPr>
          <w:lang w:val="en-US"/>
        </w:rPr>
        <w:t xml:space="preserve"> Human </w:t>
      </w:r>
      <w:r w:rsidRPr="00520A6E">
        <w:rPr>
          <w:lang w:val="en-US"/>
        </w:rPr>
        <w:t>Rights Centre ZMINA</w:t>
      </w:r>
      <w:r>
        <w:rPr>
          <w:lang w:val="en-US"/>
        </w:rPr>
        <w:t xml:space="preserve">. </w:t>
      </w:r>
      <w:hyperlink r:id="rId31" w:history="1">
        <w:r w:rsidR="00BE31BF" w:rsidRPr="000A0F27">
          <w:rPr>
            <w:rStyle w:val="Hyperlink"/>
          </w:rPr>
          <w:t>https://zmina.ua/wp-content/uploads/sites/2/2023/10/colaboration_eng_web.pdf</w:t>
        </w:r>
      </w:hyperlink>
      <w:r w:rsidRPr="00BE31BF">
        <w:rPr>
          <w:rStyle w:val="Hyperlink"/>
        </w:rPr>
        <w:t xml:space="preserve"> </w:t>
      </w:r>
      <w:r w:rsidRPr="00BE31BF">
        <w:rPr>
          <w:rStyle w:val="Hyperlink"/>
          <w:color w:val="auto"/>
          <w:u w:val="none"/>
        </w:rPr>
        <w:t>(käyty 11.3.2025).</w:t>
      </w:r>
    </w:p>
    <w:p w14:paraId="56DD0313" w14:textId="2432F407" w:rsidR="005C4E37" w:rsidRDefault="003723B5" w:rsidP="00E46D82">
      <w:pPr>
        <w:pStyle w:val="FootnoteText"/>
        <w:jc w:val="left"/>
        <w:rPr>
          <w:lang w:val="en-US"/>
        </w:rPr>
      </w:pPr>
      <w:proofErr w:type="spellStart"/>
      <w:r>
        <w:rPr>
          <w:lang w:val="en-US"/>
        </w:rPr>
        <w:t>Ukraina</w:t>
      </w:r>
      <w:proofErr w:type="spellEnd"/>
      <w:r w:rsidR="00EA4E9D">
        <w:rPr>
          <w:lang w:val="en-US"/>
        </w:rPr>
        <w:t xml:space="preserve"> </w:t>
      </w:r>
    </w:p>
    <w:p w14:paraId="6182BE9F" w14:textId="00C2F89F" w:rsidR="005C4E37" w:rsidRDefault="005C4E37" w:rsidP="00E46D82">
      <w:pPr>
        <w:ind w:left="720"/>
        <w:jc w:val="left"/>
        <w:rPr>
          <w:lang w:val="en-US"/>
        </w:rPr>
      </w:pPr>
      <w:r w:rsidRPr="005C4E37">
        <w:rPr>
          <w:lang w:val="en-US"/>
        </w:rPr>
        <w:t xml:space="preserve">13.4.2012. </w:t>
      </w:r>
      <w:proofErr w:type="gramStart"/>
      <w:r w:rsidRPr="00E46D82">
        <w:rPr>
          <w:i/>
          <w:iCs/>
        </w:rPr>
        <w:t>КРИМІНАЛЬНИЙ</w:t>
      </w:r>
      <w:r w:rsidRPr="00E46D82">
        <w:rPr>
          <w:i/>
          <w:iCs/>
          <w:lang w:val="en-US"/>
        </w:rPr>
        <w:t xml:space="preserve">  </w:t>
      </w:r>
      <w:r w:rsidRPr="00E46D82">
        <w:rPr>
          <w:i/>
          <w:iCs/>
        </w:rPr>
        <w:t>ПРОЦЕСУАЛЬНИЙ</w:t>
      </w:r>
      <w:proofErr w:type="gramEnd"/>
      <w:r w:rsidRPr="00E46D82">
        <w:rPr>
          <w:i/>
          <w:iCs/>
          <w:lang w:val="en-US"/>
        </w:rPr>
        <w:t xml:space="preserve">  </w:t>
      </w:r>
      <w:r w:rsidRPr="00E46D82">
        <w:rPr>
          <w:i/>
          <w:iCs/>
        </w:rPr>
        <w:t>КОДЕКС</w:t>
      </w:r>
      <w:r w:rsidRPr="00E46D82">
        <w:rPr>
          <w:i/>
          <w:iCs/>
          <w:lang w:val="en-US"/>
        </w:rPr>
        <w:t xml:space="preserve">  </w:t>
      </w:r>
      <w:r w:rsidRPr="00E46D82">
        <w:rPr>
          <w:i/>
          <w:iCs/>
        </w:rPr>
        <w:t>УКРАЇНИ</w:t>
      </w:r>
      <w:r w:rsidRPr="00E46D82">
        <w:rPr>
          <w:i/>
          <w:iCs/>
          <w:lang w:val="en-US"/>
        </w:rPr>
        <w:t xml:space="preserve">. </w:t>
      </w:r>
      <w:hyperlink r:id="rId32" w:anchor="Text" w:history="1">
        <w:r w:rsidRPr="007E40B2">
          <w:rPr>
            <w:rStyle w:val="Hyperlink"/>
            <w:lang w:val="en-US"/>
          </w:rPr>
          <w:t>https://zakon.rada.gov.ua/laws/show/4651-17#Text</w:t>
        </w:r>
      </w:hyperlink>
      <w:r w:rsidRPr="007E40B2">
        <w:rPr>
          <w:lang w:val="en-US"/>
        </w:rPr>
        <w:t xml:space="preserve"> </w:t>
      </w:r>
      <w:r w:rsidR="00E46D82" w:rsidRPr="007E40B2">
        <w:rPr>
          <w:lang w:val="en-US"/>
        </w:rPr>
        <w:t>(</w:t>
      </w:r>
      <w:proofErr w:type="spellStart"/>
      <w:r w:rsidR="00E46D82" w:rsidRPr="007E40B2">
        <w:rPr>
          <w:lang w:val="en-US"/>
        </w:rPr>
        <w:t>käyty</w:t>
      </w:r>
      <w:proofErr w:type="spellEnd"/>
      <w:r w:rsidR="00E46D82" w:rsidRPr="007E40B2">
        <w:rPr>
          <w:lang w:val="en-US"/>
        </w:rPr>
        <w:t xml:space="preserve"> 17.3.2025).</w:t>
      </w:r>
    </w:p>
    <w:p w14:paraId="52C890DA" w14:textId="064CE501" w:rsidR="007267F6" w:rsidRDefault="007267F6" w:rsidP="007267F6">
      <w:pPr>
        <w:pStyle w:val="FootnoteText"/>
        <w:ind w:left="720"/>
        <w:jc w:val="left"/>
      </w:pPr>
      <w:r w:rsidRPr="00694C7F">
        <w:rPr>
          <w:lang w:val="en-US"/>
        </w:rPr>
        <w:t xml:space="preserve">28.6.1996. </w:t>
      </w:r>
      <w:r w:rsidRPr="00694C7F">
        <w:rPr>
          <w:i/>
          <w:iCs/>
          <w:lang w:val="en-US"/>
        </w:rPr>
        <w:t>Constitution of Ukraine.</w:t>
      </w:r>
      <w:r w:rsidRPr="00694C7F">
        <w:rPr>
          <w:lang w:val="en-US"/>
        </w:rPr>
        <w:t xml:space="preserve">  </w:t>
      </w:r>
      <w:r w:rsidRPr="007267F6">
        <w:t xml:space="preserve">Saatavilla:  </w:t>
      </w:r>
      <w:hyperlink r:id="rId33" w:history="1">
        <w:r w:rsidRPr="00F446A5">
          <w:rPr>
            <w:rStyle w:val="Hyperlink"/>
          </w:rPr>
          <w:t>https://rm.coe.int/constitution-of-ukraine/168071f58b</w:t>
        </w:r>
      </w:hyperlink>
      <w:r w:rsidRPr="007267F6">
        <w:t xml:space="preserve"> (käyty 10.3.2025).     </w:t>
      </w:r>
    </w:p>
    <w:p w14:paraId="4EF9FEC6" w14:textId="77777777" w:rsidR="007267F6" w:rsidRPr="007267F6" w:rsidRDefault="007267F6" w:rsidP="007267F6">
      <w:pPr>
        <w:pStyle w:val="FootnoteText"/>
        <w:ind w:left="720"/>
        <w:jc w:val="left"/>
      </w:pPr>
    </w:p>
    <w:p w14:paraId="3861304E" w14:textId="77CBD3A1" w:rsidR="003723B5" w:rsidRPr="0059710F" w:rsidRDefault="003723B5" w:rsidP="005C4E37">
      <w:pPr>
        <w:pStyle w:val="FootnoteText"/>
        <w:ind w:left="720"/>
        <w:jc w:val="left"/>
      </w:pPr>
      <w:r w:rsidRPr="0059710F">
        <w:t xml:space="preserve">5.4.2001. </w:t>
      </w:r>
      <w:r w:rsidRPr="00E46D82">
        <w:rPr>
          <w:i/>
          <w:iCs/>
          <w:lang w:val="en-US"/>
        </w:rPr>
        <w:t>КРИМІНАЛЬНИЙ</w:t>
      </w:r>
      <w:r w:rsidRPr="0059710F">
        <w:rPr>
          <w:i/>
          <w:iCs/>
        </w:rPr>
        <w:t xml:space="preserve"> </w:t>
      </w:r>
      <w:r w:rsidRPr="00E46D82">
        <w:rPr>
          <w:i/>
          <w:iCs/>
          <w:lang w:val="en-US"/>
        </w:rPr>
        <w:t>КОДЕКС</w:t>
      </w:r>
      <w:r w:rsidRPr="0059710F">
        <w:rPr>
          <w:i/>
          <w:iCs/>
        </w:rPr>
        <w:t xml:space="preserve"> </w:t>
      </w:r>
      <w:r w:rsidRPr="00E46D82">
        <w:rPr>
          <w:i/>
          <w:iCs/>
          <w:lang w:val="en-US"/>
        </w:rPr>
        <w:t>УКРАЇНИ</w:t>
      </w:r>
      <w:r w:rsidRPr="0059710F">
        <w:rPr>
          <w:i/>
          <w:iCs/>
        </w:rPr>
        <w:t xml:space="preserve">. </w:t>
      </w:r>
      <w:hyperlink r:id="rId34" w:anchor="Text" w:history="1">
        <w:r w:rsidR="005C4E37" w:rsidRPr="0059710F">
          <w:rPr>
            <w:rStyle w:val="Hyperlink"/>
          </w:rPr>
          <w:t>https://zakon.rada.gov.ua/laws/show/en/2341-14?lang=uk#Text</w:t>
        </w:r>
      </w:hyperlink>
      <w:r w:rsidRPr="0059710F">
        <w:t xml:space="preserve">  (käyty 1</w:t>
      </w:r>
      <w:r w:rsidR="00EA4E9D" w:rsidRPr="0059710F">
        <w:t>7.3</w:t>
      </w:r>
      <w:r w:rsidRPr="0059710F">
        <w:t>.2025).</w:t>
      </w:r>
    </w:p>
    <w:p w14:paraId="5E93E495" w14:textId="77777777" w:rsidR="00BE31BF" w:rsidRDefault="00BE31BF" w:rsidP="00BE31BF">
      <w:pPr>
        <w:jc w:val="left"/>
        <w:rPr>
          <w:lang w:val="en-US"/>
        </w:rPr>
      </w:pPr>
      <w:r>
        <w:rPr>
          <w:lang w:val="en-US"/>
        </w:rPr>
        <w:t xml:space="preserve">UN </w:t>
      </w:r>
      <w:r w:rsidRPr="00CD755B">
        <w:rPr>
          <w:lang w:val="en-US"/>
        </w:rPr>
        <w:t>OHC</w:t>
      </w:r>
      <w:r>
        <w:rPr>
          <w:lang w:val="en-US"/>
        </w:rPr>
        <w:t>H</w:t>
      </w:r>
      <w:r w:rsidRPr="00CD755B">
        <w:rPr>
          <w:lang w:val="en-US"/>
        </w:rPr>
        <w:t>R</w:t>
      </w:r>
      <w:r>
        <w:rPr>
          <w:lang w:val="en-US"/>
        </w:rPr>
        <w:t xml:space="preserve"> (United Nations </w:t>
      </w:r>
      <w:r w:rsidRPr="00A017D6">
        <w:rPr>
          <w:lang w:val="en-US"/>
        </w:rPr>
        <w:t>Office of the Uni</w:t>
      </w:r>
      <w:r>
        <w:rPr>
          <w:lang w:val="en-US"/>
        </w:rPr>
        <w:t>t</w:t>
      </w:r>
      <w:r w:rsidRPr="00A017D6">
        <w:rPr>
          <w:lang w:val="en-US"/>
        </w:rPr>
        <w:t>ed Nations High Commissioner for Human Rights</w:t>
      </w:r>
      <w:r>
        <w:rPr>
          <w:lang w:val="en-US"/>
        </w:rPr>
        <w:t>)</w:t>
      </w:r>
      <w:r w:rsidRPr="00CD755B">
        <w:rPr>
          <w:lang w:val="en-US"/>
        </w:rPr>
        <w:t xml:space="preserve"> </w:t>
      </w:r>
    </w:p>
    <w:p w14:paraId="6AB50915" w14:textId="77777777" w:rsidR="00BE31BF" w:rsidRDefault="00BE31BF" w:rsidP="00BE31BF">
      <w:pPr>
        <w:ind w:left="720"/>
        <w:jc w:val="left"/>
      </w:pPr>
      <w:r w:rsidRPr="00CD755B">
        <w:rPr>
          <w:lang w:val="en-US"/>
        </w:rPr>
        <w:t>2/2025</w:t>
      </w:r>
      <w:r>
        <w:rPr>
          <w:lang w:val="en-US"/>
        </w:rPr>
        <w:t xml:space="preserve">. </w:t>
      </w:r>
      <w:r w:rsidRPr="00A017D6">
        <w:rPr>
          <w:i/>
          <w:iCs/>
          <w:lang w:val="en-US"/>
        </w:rPr>
        <w:t>Fact sheet. Three years since the full-scale invasion of Ukraine: Key facts and findings about the impact on human rights 24 February 2022 to February 2025.</w:t>
      </w:r>
      <w:r>
        <w:rPr>
          <w:i/>
          <w:iCs/>
          <w:lang w:val="en-US"/>
        </w:rPr>
        <w:t xml:space="preserve"> </w:t>
      </w:r>
      <w:hyperlink r:id="rId35" w:history="1">
        <w:r w:rsidRPr="00A017D6">
          <w:rPr>
            <w:rStyle w:val="Hyperlink"/>
          </w:rPr>
          <w:t>https://ukraine.ohchr.org/sites/default/files/2025-02/Human%20rights%203%20years%20into%20Russia%27s%20full-scale%20invasion%20of%20Ukraine_factsheet%20%28ENG%29.pdf</w:t>
        </w:r>
      </w:hyperlink>
      <w:r w:rsidRPr="00A017D6">
        <w:rPr>
          <w:i/>
          <w:iCs/>
        </w:rPr>
        <w:t xml:space="preserve"> </w:t>
      </w:r>
      <w:r w:rsidRPr="00A017D6">
        <w:t>(käyty 12.3.2025).</w:t>
      </w:r>
    </w:p>
    <w:p w14:paraId="44ED4C46" w14:textId="7C907C34" w:rsidR="00BE31BF" w:rsidRPr="00BE31BF" w:rsidRDefault="00BE31BF" w:rsidP="00BE31BF">
      <w:pPr>
        <w:ind w:left="720"/>
        <w:jc w:val="left"/>
      </w:pPr>
      <w:r w:rsidRPr="00BB3F46">
        <w:rPr>
          <w:lang w:val="en-US"/>
        </w:rPr>
        <w:t xml:space="preserve">1.10.2024. </w:t>
      </w:r>
      <w:r w:rsidRPr="009E7310">
        <w:rPr>
          <w:i/>
          <w:iCs/>
          <w:lang w:val="en-US"/>
        </w:rPr>
        <w:t>Treatment of prisoners of war and update on the human rights situation in Ukraine 1 June to 31 August 2024.</w:t>
      </w:r>
      <w:r w:rsidRPr="000F6524">
        <w:rPr>
          <w:lang w:val="en-US"/>
        </w:rPr>
        <w:t xml:space="preserve"> </w:t>
      </w:r>
      <w:hyperlink r:id="rId36" w:history="1">
        <w:r w:rsidRPr="00BB3F46">
          <w:rPr>
            <w:rStyle w:val="Hyperlink"/>
          </w:rPr>
          <w:t>https://ukraine.un.org/sites/default/files/2024-10/2024-10-01%20OHCHR%2040th%20periodic%20report%20on%20Ukraine.pdf</w:t>
        </w:r>
      </w:hyperlink>
      <w:r w:rsidRPr="00BB3F46">
        <w:t xml:space="preserve"> (käyty 17.3.2025).</w:t>
      </w:r>
    </w:p>
    <w:p w14:paraId="13BE402F" w14:textId="73E57603" w:rsidR="00873A37" w:rsidRPr="009E7310" w:rsidRDefault="00B2475B" w:rsidP="005C4E37">
      <w:pPr>
        <w:jc w:val="left"/>
        <w:rPr>
          <w:lang w:val="en-US"/>
        </w:rPr>
      </w:pPr>
      <w:r w:rsidRPr="00DE05E0">
        <w:rPr>
          <w:lang w:val="en-US"/>
        </w:rPr>
        <w:t xml:space="preserve">USDOS </w:t>
      </w:r>
      <w:r w:rsidR="00DE05E0" w:rsidRPr="00DE05E0">
        <w:rPr>
          <w:lang w:val="en-US"/>
        </w:rPr>
        <w:t xml:space="preserve">(US Department of State) 23.4.2024. </w:t>
      </w:r>
      <w:r w:rsidR="009E7310" w:rsidRPr="009E7310">
        <w:rPr>
          <w:i/>
          <w:iCs/>
          <w:lang w:val="en-US"/>
        </w:rPr>
        <w:t xml:space="preserve">Ukraine 2023 Human Rights Report. </w:t>
      </w:r>
      <w:hyperlink r:id="rId37" w:history="1">
        <w:r w:rsidR="00DE05E0" w:rsidRPr="009E7310">
          <w:rPr>
            <w:rStyle w:val="Hyperlink"/>
            <w:lang w:val="en-US"/>
          </w:rPr>
          <w:t>https://www.state.gov/wp-content/uploads/2024/03/528267-UKRAINE-2023-HUMAN-RIGHTS-REPORT.pdf</w:t>
        </w:r>
      </w:hyperlink>
      <w:r w:rsidRPr="009E7310">
        <w:rPr>
          <w:lang w:val="en-US"/>
        </w:rPr>
        <w:t xml:space="preserve"> (</w:t>
      </w:r>
      <w:proofErr w:type="spellStart"/>
      <w:r w:rsidRPr="009E7310">
        <w:rPr>
          <w:lang w:val="en-US"/>
        </w:rPr>
        <w:t>käyty</w:t>
      </w:r>
      <w:proofErr w:type="spellEnd"/>
      <w:r w:rsidRPr="009E7310">
        <w:rPr>
          <w:lang w:val="en-US"/>
        </w:rPr>
        <w:t xml:space="preserve"> 25.2.2025).</w:t>
      </w:r>
    </w:p>
    <w:p w14:paraId="04B1072C" w14:textId="50B0C683" w:rsidR="00082DFE" w:rsidRPr="00865D41" w:rsidRDefault="000C2DF0" w:rsidP="00082DFE">
      <w:pPr>
        <w:pStyle w:val="LeiptekstiMigri"/>
        <w:ind w:left="0"/>
      </w:pPr>
      <w:r>
        <w:rPr>
          <w:b/>
        </w:rPr>
        <w:pict w14:anchorId="6D868279">
          <v:rect id="_x0000_i1028" style="width:0;height:1.5pt" o:hralign="center" o:hrstd="t" o:hr="t" fillcolor="#a0a0a0" stroked="f"/>
        </w:pict>
      </w:r>
      <w:r w:rsidR="00641E39">
        <w:rPr>
          <w:b/>
        </w:rPr>
        <w:t xml:space="preserve"> </w:t>
      </w:r>
    </w:p>
    <w:p w14:paraId="166CCA06" w14:textId="77777777" w:rsidR="00082DFE" w:rsidRDefault="001D63F6" w:rsidP="00810134">
      <w:pPr>
        <w:pStyle w:val="Numeroimatonotsikko"/>
      </w:pPr>
      <w:r>
        <w:t>Tietoja vastauksesta</w:t>
      </w:r>
    </w:p>
    <w:p w14:paraId="668F1401"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19FF63AD" w14:textId="77777777" w:rsidR="001D63F6" w:rsidRPr="00BC367A" w:rsidRDefault="001D63F6" w:rsidP="00810134">
      <w:pPr>
        <w:pStyle w:val="Numeroimatonotsikko"/>
        <w:rPr>
          <w:lang w:val="en-GB"/>
        </w:rPr>
      </w:pPr>
      <w:r w:rsidRPr="00BC367A">
        <w:rPr>
          <w:lang w:val="en-GB"/>
        </w:rPr>
        <w:t>Information on the response</w:t>
      </w:r>
    </w:p>
    <w:p w14:paraId="759F9A3E" w14:textId="77777777" w:rsidR="00A35BCB" w:rsidRPr="00275F50" w:rsidRDefault="00A35BCB" w:rsidP="00A35BCB">
      <w:pPr>
        <w:rPr>
          <w:lang w:val="en-US"/>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w:t>
      </w:r>
      <w:r w:rsidRPr="00275F50">
        <w:rPr>
          <w:lang w:val="en-US"/>
        </w:rPr>
        <w:t>evaluation.</w:t>
      </w:r>
    </w:p>
    <w:p w14:paraId="06ED37C9" w14:textId="77777777" w:rsidR="00B112B8" w:rsidRPr="00275F50" w:rsidRDefault="00B112B8" w:rsidP="00A35BCB">
      <w:pPr>
        <w:rPr>
          <w:lang w:val="en-US"/>
        </w:rPr>
      </w:pPr>
    </w:p>
    <w:sectPr w:rsidR="00B112B8" w:rsidRPr="00275F50" w:rsidSect="00072438">
      <w:headerReference w:type="default" r:id="rId38"/>
      <w:headerReference w:type="first" r:id="rId39"/>
      <w:footerReference w:type="first" r:id="rId40"/>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8566" w14:textId="77777777" w:rsidR="00EA62A6" w:rsidRDefault="00EA62A6" w:rsidP="007E0069">
      <w:pPr>
        <w:spacing w:after="0" w:line="240" w:lineRule="auto"/>
      </w:pPr>
      <w:r>
        <w:separator/>
      </w:r>
    </w:p>
  </w:endnote>
  <w:endnote w:type="continuationSeparator" w:id="0">
    <w:p w14:paraId="1F3C2934" w14:textId="77777777" w:rsidR="00EA62A6" w:rsidRDefault="00EA62A6"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E6A8" w14:textId="77777777" w:rsidR="009B274B" w:rsidRDefault="009B274B"/>
  <w:tbl>
    <w:tblPr>
      <w:tblStyle w:val="TableGrid"/>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9B274B" w:rsidRPr="00A83D54" w14:paraId="510EFD37" w14:textId="77777777" w:rsidTr="00483E37">
      <w:trPr>
        <w:trHeight w:val="189"/>
      </w:trPr>
      <w:tc>
        <w:tcPr>
          <w:tcW w:w="1560" w:type="dxa"/>
        </w:tcPr>
        <w:p w14:paraId="54E069B6" w14:textId="77777777" w:rsidR="009B274B" w:rsidRPr="00A83D54" w:rsidRDefault="009B274B" w:rsidP="00337E76">
          <w:pPr>
            <w:pStyle w:val="Footer"/>
            <w:rPr>
              <w:sz w:val="14"/>
              <w:szCs w:val="14"/>
            </w:rPr>
          </w:pPr>
        </w:p>
      </w:tc>
      <w:tc>
        <w:tcPr>
          <w:tcW w:w="2551" w:type="dxa"/>
        </w:tcPr>
        <w:p w14:paraId="40444B2D" w14:textId="77777777" w:rsidR="009B274B" w:rsidRPr="00A83D54" w:rsidRDefault="009B274B" w:rsidP="00337E76">
          <w:pPr>
            <w:pStyle w:val="Footer"/>
            <w:rPr>
              <w:sz w:val="14"/>
              <w:szCs w:val="14"/>
            </w:rPr>
          </w:pPr>
        </w:p>
      </w:tc>
      <w:tc>
        <w:tcPr>
          <w:tcW w:w="2552" w:type="dxa"/>
        </w:tcPr>
        <w:p w14:paraId="1704D1F2" w14:textId="77777777" w:rsidR="009B274B" w:rsidRPr="00A83D54" w:rsidRDefault="009B274B" w:rsidP="00337E76">
          <w:pPr>
            <w:pStyle w:val="Footer"/>
            <w:rPr>
              <w:sz w:val="14"/>
              <w:szCs w:val="14"/>
            </w:rPr>
          </w:pPr>
        </w:p>
      </w:tc>
      <w:tc>
        <w:tcPr>
          <w:tcW w:w="2830" w:type="dxa"/>
        </w:tcPr>
        <w:p w14:paraId="2EF6E72A" w14:textId="77777777" w:rsidR="009B274B" w:rsidRPr="00A83D54" w:rsidRDefault="009B274B" w:rsidP="00337E76">
          <w:pPr>
            <w:pStyle w:val="Footer"/>
            <w:rPr>
              <w:sz w:val="14"/>
              <w:szCs w:val="14"/>
            </w:rPr>
          </w:pPr>
        </w:p>
      </w:tc>
    </w:tr>
    <w:tr w:rsidR="009B274B" w:rsidRPr="00A83D54" w14:paraId="7D745BB9" w14:textId="77777777" w:rsidTr="00483E37">
      <w:trPr>
        <w:trHeight w:val="189"/>
      </w:trPr>
      <w:tc>
        <w:tcPr>
          <w:tcW w:w="1560" w:type="dxa"/>
        </w:tcPr>
        <w:p w14:paraId="47150158" w14:textId="77777777" w:rsidR="009B274B" w:rsidRPr="00A83D54" w:rsidRDefault="009B274B" w:rsidP="00337E76">
          <w:pPr>
            <w:pStyle w:val="Footer"/>
            <w:rPr>
              <w:sz w:val="14"/>
              <w:szCs w:val="14"/>
            </w:rPr>
          </w:pPr>
        </w:p>
      </w:tc>
      <w:tc>
        <w:tcPr>
          <w:tcW w:w="2551" w:type="dxa"/>
        </w:tcPr>
        <w:p w14:paraId="0BE1690F" w14:textId="77777777" w:rsidR="009B274B" w:rsidRPr="00A83D54" w:rsidRDefault="009B274B" w:rsidP="00337E76">
          <w:pPr>
            <w:pStyle w:val="Footer"/>
            <w:rPr>
              <w:sz w:val="14"/>
              <w:szCs w:val="14"/>
            </w:rPr>
          </w:pPr>
        </w:p>
      </w:tc>
      <w:tc>
        <w:tcPr>
          <w:tcW w:w="2552" w:type="dxa"/>
        </w:tcPr>
        <w:p w14:paraId="618820FD" w14:textId="77777777" w:rsidR="009B274B" w:rsidRPr="00A83D54" w:rsidRDefault="009B274B" w:rsidP="00337E76">
          <w:pPr>
            <w:pStyle w:val="Footer"/>
            <w:rPr>
              <w:sz w:val="14"/>
              <w:szCs w:val="14"/>
            </w:rPr>
          </w:pPr>
        </w:p>
      </w:tc>
      <w:tc>
        <w:tcPr>
          <w:tcW w:w="2830" w:type="dxa"/>
        </w:tcPr>
        <w:p w14:paraId="3E66811F" w14:textId="77777777" w:rsidR="009B274B" w:rsidRPr="00A83D54" w:rsidRDefault="009B274B" w:rsidP="00337E76">
          <w:pPr>
            <w:pStyle w:val="Footer"/>
            <w:rPr>
              <w:sz w:val="14"/>
              <w:szCs w:val="14"/>
            </w:rPr>
          </w:pPr>
        </w:p>
      </w:tc>
    </w:tr>
    <w:tr w:rsidR="009B274B" w:rsidRPr="00A83D54" w14:paraId="30F7BCA3" w14:textId="77777777" w:rsidTr="00483E37">
      <w:trPr>
        <w:trHeight w:val="189"/>
      </w:trPr>
      <w:tc>
        <w:tcPr>
          <w:tcW w:w="1560" w:type="dxa"/>
        </w:tcPr>
        <w:p w14:paraId="73EFC3C3" w14:textId="77777777" w:rsidR="009B274B" w:rsidRPr="00A83D54" w:rsidRDefault="009B274B" w:rsidP="00337E76">
          <w:pPr>
            <w:pStyle w:val="Footer"/>
            <w:rPr>
              <w:sz w:val="14"/>
              <w:szCs w:val="14"/>
            </w:rPr>
          </w:pPr>
        </w:p>
      </w:tc>
      <w:tc>
        <w:tcPr>
          <w:tcW w:w="2551" w:type="dxa"/>
        </w:tcPr>
        <w:p w14:paraId="5035FDE9" w14:textId="77777777" w:rsidR="009B274B" w:rsidRPr="00A83D54" w:rsidRDefault="009B274B" w:rsidP="00337E76">
          <w:pPr>
            <w:pStyle w:val="Footer"/>
            <w:rPr>
              <w:sz w:val="14"/>
              <w:szCs w:val="14"/>
            </w:rPr>
          </w:pPr>
        </w:p>
      </w:tc>
      <w:tc>
        <w:tcPr>
          <w:tcW w:w="2552" w:type="dxa"/>
        </w:tcPr>
        <w:p w14:paraId="425AA70A" w14:textId="77777777" w:rsidR="009B274B" w:rsidRPr="00A83D54" w:rsidRDefault="009B274B" w:rsidP="00337E76">
          <w:pPr>
            <w:pStyle w:val="Footer"/>
            <w:rPr>
              <w:sz w:val="14"/>
              <w:szCs w:val="14"/>
            </w:rPr>
          </w:pPr>
        </w:p>
      </w:tc>
      <w:tc>
        <w:tcPr>
          <w:tcW w:w="2830" w:type="dxa"/>
        </w:tcPr>
        <w:p w14:paraId="2AC70AD8" w14:textId="77777777" w:rsidR="009B274B" w:rsidRPr="00A83D54" w:rsidRDefault="009B274B" w:rsidP="00337E76">
          <w:pPr>
            <w:pStyle w:val="Footer"/>
            <w:rPr>
              <w:sz w:val="14"/>
              <w:szCs w:val="14"/>
            </w:rPr>
          </w:pPr>
        </w:p>
      </w:tc>
    </w:tr>
  </w:tbl>
  <w:p w14:paraId="2B0C8D96" w14:textId="77777777" w:rsidR="009B274B" w:rsidRDefault="009B274B">
    <w:pPr>
      <w:pStyle w:val="Footer"/>
    </w:pPr>
    <w:r w:rsidRPr="00A83D54">
      <w:rPr>
        <w:noProof/>
        <w:sz w:val="14"/>
        <w:szCs w:val="14"/>
        <w:lang w:eastAsia="fi-FI"/>
      </w:rPr>
      <w:drawing>
        <wp:anchor distT="0" distB="0" distL="114300" distR="114300" simplePos="0" relativeHeight="251667456" behindDoc="0" locked="0" layoutInCell="1" allowOverlap="1" wp14:anchorId="0654B0A3" wp14:editId="7A091DF3">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1BA07B33" w14:textId="77777777" w:rsidR="009B274B" w:rsidRDefault="009B2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B0B63" w14:textId="77777777" w:rsidR="00EA62A6" w:rsidRDefault="00EA62A6" w:rsidP="007E0069">
      <w:pPr>
        <w:spacing w:after="0" w:line="240" w:lineRule="auto"/>
      </w:pPr>
      <w:r>
        <w:separator/>
      </w:r>
    </w:p>
  </w:footnote>
  <w:footnote w:type="continuationSeparator" w:id="0">
    <w:p w14:paraId="4E28F0DA" w14:textId="77777777" w:rsidR="00EA62A6" w:rsidRDefault="00EA62A6" w:rsidP="007E0069">
      <w:pPr>
        <w:spacing w:after="0" w:line="240" w:lineRule="auto"/>
      </w:pPr>
      <w:r>
        <w:continuationSeparator/>
      </w:r>
    </w:p>
  </w:footnote>
  <w:footnote w:id="1">
    <w:p w14:paraId="6C4D86BB" w14:textId="1191A5E1" w:rsidR="009B274B" w:rsidRPr="00946601" w:rsidRDefault="009B274B" w:rsidP="009A3E10">
      <w:pPr>
        <w:pStyle w:val="FootnoteText"/>
        <w:rPr>
          <w:lang w:val="en-US"/>
        </w:rPr>
      </w:pPr>
      <w:r>
        <w:rPr>
          <w:rStyle w:val="FootnoteReference"/>
        </w:rPr>
        <w:footnoteRef/>
      </w:r>
      <w:r w:rsidRPr="00946601">
        <w:rPr>
          <w:lang w:val="en-US"/>
        </w:rPr>
        <w:t xml:space="preserve"> Freedom house 2024</w:t>
      </w:r>
      <w:r>
        <w:rPr>
          <w:lang w:val="en-US"/>
        </w:rPr>
        <w:t>a</w:t>
      </w:r>
      <w:r w:rsidRPr="00946601">
        <w:rPr>
          <w:lang w:val="en-US"/>
        </w:rPr>
        <w:t xml:space="preserve">; Freedom House </w:t>
      </w:r>
      <w:r>
        <w:rPr>
          <w:lang w:val="en-US"/>
        </w:rPr>
        <w:t>16.10.2024</w:t>
      </w:r>
      <w:r w:rsidRPr="00946601">
        <w:rPr>
          <w:lang w:val="en-US"/>
        </w:rPr>
        <w:t xml:space="preserve">; </w:t>
      </w:r>
      <w:proofErr w:type="spellStart"/>
      <w:r w:rsidRPr="00946601">
        <w:rPr>
          <w:lang w:val="en-US"/>
        </w:rPr>
        <w:t>Ukrain</w:t>
      </w:r>
      <w:r w:rsidR="007267F6">
        <w:rPr>
          <w:lang w:val="en-US"/>
        </w:rPr>
        <w:t>a</w:t>
      </w:r>
      <w:proofErr w:type="spellEnd"/>
      <w:r w:rsidRPr="00946601">
        <w:rPr>
          <w:lang w:val="en-US"/>
        </w:rPr>
        <w:t xml:space="preserve"> 28.6.1996, 34 </w:t>
      </w:r>
      <w:r w:rsidR="002F4F7A" w:rsidRPr="00946601">
        <w:rPr>
          <w:bCs/>
          <w:lang w:val="en-US"/>
        </w:rPr>
        <w:t>§</w:t>
      </w:r>
      <w:r w:rsidR="002F4F7A">
        <w:rPr>
          <w:bCs/>
          <w:lang w:val="en-US"/>
        </w:rPr>
        <w:t xml:space="preserve"> </w:t>
      </w:r>
      <w:r w:rsidRPr="00946601">
        <w:rPr>
          <w:lang w:val="en-US"/>
        </w:rPr>
        <w:t xml:space="preserve">ja 15 </w:t>
      </w:r>
      <w:r w:rsidRPr="00946601">
        <w:rPr>
          <w:bCs/>
          <w:lang w:val="en-US"/>
        </w:rPr>
        <w:t>§</w:t>
      </w:r>
      <w:r w:rsidRPr="00946601">
        <w:rPr>
          <w:lang w:val="en-US"/>
        </w:rPr>
        <w:t xml:space="preserve">.    </w:t>
      </w:r>
    </w:p>
  </w:footnote>
  <w:footnote w:id="2">
    <w:p w14:paraId="11F1E905" w14:textId="5751C370" w:rsidR="009B274B" w:rsidRPr="002400EE" w:rsidRDefault="009B274B" w:rsidP="001E0C58">
      <w:pPr>
        <w:pStyle w:val="FootnoteText"/>
        <w:rPr>
          <w:lang w:val="en-US"/>
        </w:rPr>
      </w:pPr>
      <w:r>
        <w:rPr>
          <w:rStyle w:val="FootnoteReference"/>
        </w:rPr>
        <w:footnoteRef/>
      </w:r>
      <w:r w:rsidRPr="002400EE">
        <w:rPr>
          <w:lang w:val="en-US"/>
        </w:rPr>
        <w:t xml:space="preserve"> Freedom House </w:t>
      </w:r>
      <w:r>
        <w:rPr>
          <w:lang w:val="en-US"/>
        </w:rPr>
        <w:t>16.10.2024</w:t>
      </w:r>
      <w:r w:rsidRPr="002400EE">
        <w:rPr>
          <w:lang w:val="en-US"/>
        </w:rPr>
        <w:t>.</w:t>
      </w:r>
    </w:p>
  </w:footnote>
  <w:footnote w:id="3">
    <w:p w14:paraId="5C22C2EB" w14:textId="1B95637C" w:rsidR="009B274B" w:rsidRPr="00BF1FF2" w:rsidRDefault="009B274B" w:rsidP="002B0C43">
      <w:pPr>
        <w:pStyle w:val="FootnoteText"/>
        <w:rPr>
          <w:lang w:val="en-US"/>
        </w:rPr>
      </w:pPr>
      <w:r>
        <w:rPr>
          <w:rStyle w:val="FootnoteReference"/>
        </w:rPr>
        <w:footnoteRef/>
      </w:r>
      <w:r w:rsidRPr="00BF1FF2">
        <w:rPr>
          <w:lang w:val="en-US"/>
        </w:rPr>
        <w:t xml:space="preserve"> USDOS 23.4.2024 s.</w:t>
      </w:r>
      <w:r w:rsidR="002F4F7A">
        <w:rPr>
          <w:lang w:val="en-US"/>
        </w:rPr>
        <w:t xml:space="preserve"> </w:t>
      </w:r>
      <w:r w:rsidRPr="00BF1FF2">
        <w:rPr>
          <w:lang w:val="en-US"/>
        </w:rPr>
        <w:t xml:space="preserve">21; Freedom House </w:t>
      </w:r>
      <w:r>
        <w:rPr>
          <w:lang w:val="en-US"/>
        </w:rPr>
        <w:t>16.10.2024</w:t>
      </w:r>
      <w:r w:rsidRPr="00BF1FF2">
        <w:rPr>
          <w:lang w:val="en-US"/>
        </w:rPr>
        <w:t>.</w:t>
      </w:r>
    </w:p>
  </w:footnote>
  <w:footnote w:id="4">
    <w:p w14:paraId="7F7FA5BE" w14:textId="470D11D2" w:rsidR="009B274B" w:rsidRPr="002400EE" w:rsidRDefault="009B274B" w:rsidP="00D266F0">
      <w:pPr>
        <w:pStyle w:val="FootnoteText"/>
        <w:rPr>
          <w:lang w:val="en-US"/>
        </w:rPr>
      </w:pPr>
      <w:r>
        <w:rPr>
          <w:rStyle w:val="FootnoteReference"/>
        </w:rPr>
        <w:footnoteRef/>
      </w:r>
      <w:r w:rsidRPr="002400EE">
        <w:rPr>
          <w:lang w:val="en-US"/>
        </w:rPr>
        <w:t xml:space="preserve"> USDOS 23.4.2024 s. 21.</w:t>
      </w:r>
    </w:p>
  </w:footnote>
  <w:footnote w:id="5">
    <w:p w14:paraId="21C92CB2" w14:textId="42B9BF5C" w:rsidR="009B274B" w:rsidRPr="002400EE" w:rsidRDefault="009B274B">
      <w:pPr>
        <w:pStyle w:val="FootnoteText"/>
        <w:rPr>
          <w:lang w:val="en-US"/>
        </w:rPr>
      </w:pPr>
      <w:r>
        <w:rPr>
          <w:rStyle w:val="FootnoteReference"/>
        </w:rPr>
        <w:footnoteRef/>
      </w:r>
      <w:r w:rsidRPr="002400EE">
        <w:rPr>
          <w:lang w:val="en-US"/>
        </w:rPr>
        <w:t xml:space="preserve"> Freedom house 2024a.</w:t>
      </w:r>
    </w:p>
  </w:footnote>
  <w:footnote w:id="6">
    <w:p w14:paraId="719A7188" w14:textId="77777777" w:rsidR="009B274B" w:rsidRPr="002400EE" w:rsidRDefault="009B274B" w:rsidP="00392B6F">
      <w:pPr>
        <w:pStyle w:val="FootnoteText"/>
        <w:rPr>
          <w:lang w:val="en-US"/>
        </w:rPr>
      </w:pPr>
      <w:r>
        <w:rPr>
          <w:rStyle w:val="FootnoteReference"/>
        </w:rPr>
        <w:footnoteRef/>
      </w:r>
      <w:r w:rsidRPr="002400EE">
        <w:rPr>
          <w:lang w:val="en-US"/>
        </w:rPr>
        <w:t xml:space="preserve"> USDOS 23.4.2024, s. 27.</w:t>
      </w:r>
    </w:p>
  </w:footnote>
  <w:footnote w:id="7">
    <w:p w14:paraId="65BACB8C" w14:textId="77777777" w:rsidR="009B274B" w:rsidRPr="002400EE" w:rsidRDefault="009B274B" w:rsidP="006C17A3">
      <w:pPr>
        <w:pStyle w:val="FootnoteText"/>
        <w:rPr>
          <w:lang w:val="en-US"/>
        </w:rPr>
      </w:pPr>
      <w:r>
        <w:rPr>
          <w:rStyle w:val="FootnoteReference"/>
        </w:rPr>
        <w:footnoteRef/>
      </w:r>
      <w:r w:rsidRPr="002400EE">
        <w:rPr>
          <w:lang w:val="en-US"/>
        </w:rPr>
        <w:t xml:space="preserve"> USDOS 23.4.2024, s. 26.</w:t>
      </w:r>
    </w:p>
  </w:footnote>
  <w:footnote w:id="8">
    <w:p w14:paraId="69041636" w14:textId="17C6AE99" w:rsidR="009B274B" w:rsidRDefault="009B274B" w:rsidP="00392B6F">
      <w:pPr>
        <w:pStyle w:val="FootnoteText"/>
      </w:pPr>
      <w:r>
        <w:rPr>
          <w:rStyle w:val="FootnoteReference"/>
        </w:rPr>
        <w:footnoteRef/>
      </w:r>
      <w:r w:rsidRPr="002400EE">
        <w:rPr>
          <w:lang w:val="en-US"/>
        </w:rPr>
        <w:t xml:space="preserve"> Freedom house 2024a. </w:t>
      </w:r>
      <w:r w:rsidRPr="006C17A3">
        <w:t>Ukrainan ha</w:t>
      </w:r>
      <w:r>
        <w:t>ll</w:t>
      </w:r>
      <w:r w:rsidRPr="006C17A3">
        <w:t>itus on estänyt lukuisia venäläisiä tai Venäjä-mielisiä i</w:t>
      </w:r>
      <w:r>
        <w:t xml:space="preserve">nternetsivustoja ja venäläisomisteisia internetalustoja, kuten </w:t>
      </w:r>
      <w:proofErr w:type="spellStart"/>
      <w:r>
        <w:t>Vkontakte</w:t>
      </w:r>
      <w:proofErr w:type="spellEnd"/>
      <w:r>
        <w:t xml:space="preserve"> ja </w:t>
      </w:r>
      <w:proofErr w:type="spellStart"/>
      <w:r>
        <w:t>Odnoklassiniki</w:t>
      </w:r>
      <w:proofErr w:type="spellEnd"/>
      <w:r>
        <w:t xml:space="preserve"> -palvelut. Useita internetsivustoja, joiden katsotaan sisältävän Venäjän propagandaa, ja Venäjään sidoksissa olevia yrityksiä on estetty jo vuodesta 2017 lähtien. (</w:t>
      </w:r>
      <w:proofErr w:type="spellStart"/>
      <w:r w:rsidRPr="00EB7825">
        <w:t>Freedom</w:t>
      </w:r>
      <w:proofErr w:type="spellEnd"/>
      <w:r w:rsidRPr="00EB7825">
        <w:t xml:space="preserve"> House </w:t>
      </w:r>
      <w:r w:rsidRPr="002400EE">
        <w:t>16.10.2024</w:t>
      </w:r>
      <w:r w:rsidRPr="00EB7825">
        <w:t>.</w:t>
      </w:r>
      <w:r>
        <w:t>)</w:t>
      </w:r>
    </w:p>
  </w:footnote>
  <w:footnote w:id="9">
    <w:p w14:paraId="591BCDAD" w14:textId="5B717709" w:rsidR="009B274B" w:rsidRPr="00D605AF" w:rsidRDefault="009B274B">
      <w:pPr>
        <w:pStyle w:val="FootnoteText"/>
      </w:pPr>
      <w:r>
        <w:rPr>
          <w:rStyle w:val="FootnoteReference"/>
        </w:rPr>
        <w:footnoteRef/>
      </w:r>
      <w:r w:rsidRPr="00D605AF">
        <w:t xml:space="preserve"> USDOS 23.4.2024 s. 21.</w:t>
      </w:r>
    </w:p>
  </w:footnote>
  <w:footnote w:id="10">
    <w:p w14:paraId="6D02641D" w14:textId="408F907D" w:rsidR="009B274B" w:rsidRPr="002400EE" w:rsidRDefault="009B274B" w:rsidP="00133982">
      <w:pPr>
        <w:pStyle w:val="FootnoteText"/>
      </w:pPr>
      <w:r>
        <w:rPr>
          <w:rStyle w:val="FootnoteReference"/>
        </w:rPr>
        <w:footnoteRef/>
      </w:r>
      <w:r w:rsidR="009F3F67">
        <w:t xml:space="preserve"> </w:t>
      </w:r>
      <w:r w:rsidRPr="00D605AF">
        <w:t xml:space="preserve">USDOS 23.4.2024 s. 24. Huhtikuussa 2024 Ukrainan </w:t>
      </w:r>
      <w:r>
        <w:t>turvallisuus</w:t>
      </w:r>
      <w:r w:rsidRPr="00D605AF">
        <w:t>palvelu yritti antaa sotilaskutsu</w:t>
      </w:r>
      <w:r w:rsidR="002851E5">
        <w:t>kirjeen</w:t>
      </w:r>
      <w:r w:rsidRPr="00D605AF">
        <w:t xml:space="preserve"> tutkivan journalismin </w:t>
      </w:r>
      <w:proofErr w:type="spellStart"/>
      <w:r w:rsidRPr="00D605AF">
        <w:t>Slidstvo.Info</w:t>
      </w:r>
      <w:proofErr w:type="spellEnd"/>
      <w:r w:rsidRPr="00D605AF">
        <w:t xml:space="preserve">-sivuston toimittajalle kostoksi siitä, että tämä oli raportoinut </w:t>
      </w:r>
      <w:r w:rsidR="002851E5">
        <w:t>turvallisuus</w:t>
      </w:r>
      <w:r w:rsidRPr="00D605AF">
        <w:t xml:space="preserve">palvelun kyberturvallisuusosaston johtajan luksuskiinteistöistä. Tapaus johti alueellisen mobilisaatiokeskuksen johtajan ja kyberturvallisuusosaston </w:t>
      </w:r>
      <w:r w:rsidR="002851E5">
        <w:t>johtajan</w:t>
      </w:r>
      <w:r w:rsidRPr="00D605AF">
        <w:t xml:space="preserve"> erottamiseen.</w:t>
      </w:r>
      <w:r>
        <w:t xml:space="preserve"> (</w:t>
      </w:r>
      <w:proofErr w:type="spellStart"/>
      <w:r w:rsidRPr="00EB7825">
        <w:t>Freedom</w:t>
      </w:r>
      <w:proofErr w:type="spellEnd"/>
      <w:r w:rsidRPr="00EB7825">
        <w:t xml:space="preserve"> House </w:t>
      </w:r>
      <w:r w:rsidRPr="002400EE">
        <w:t>16.10.2024</w:t>
      </w:r>
      <w:r w:rsidRPr="00EB7825">
        <w:t>.</w:t>
      </w:r>
      <w:r>
        <w:t xml:space="preserve">) </w:t>
      </w:r>
      <w:proofErr w:type="spellStart"/>
      <w:r>
        <w:t>Reporters</w:t>
      </w:r>
      <w:proofErr w:type="spellEnd"/>
      <w:r>
        <w:t xml:space="preserve"> </w:t>
      </w:r>
      <w:proofErr w:type="spellStart"/>
      <w:r>
        <w:t>Without</w:t>
      </w:r>
      <w:proofErr w:type="spellEnd"/>
      <w:r>
        <w:t xml:space="preserve"> </w:t>
      </w:r>
      <w:proofErr w:type="spellStart"/>
      <w:r>
        <w:t>Borders</w:t>
      </w:r>
      <w:proofErr w:type="spellEnd"/>
      <w:r>
        <w:t xml:space="preserve"> </w:t>
      </w:r>
      <w:r w:rsidRPr="00512004">
        <w:t>uutisoi tapauksesta, jossa naamioituneet henkilöt olivat yrit</w:t>
      </w:r>
      <w:r>
        <w:t>t</w:t>
      </w:r>
      <w:r w:rsidRPr="00512004">
        <w:t xml:space="preserve">äneet tunkeutua väkisin korruption vastaisen </w:t>
      </w:r>
      <w:proofErr w:type="spellStart"/>
      <w:r w:rsidRPr="00512004">
        <w:t>Nashy</w:t>
      </w:r>
      <w:proofErr w:type="spellEnd"/>
      <w:r w:rsidRPr="00512004">
        <w:t xml:space="preserve"> </w:t>
      </w:r>
      <w:proofErr w:type="spellStart"/>
      <w:r w:rsidRPr="00512004">
        <w:t>Hroshy</w:t>
      </w:r>
      <w:proofErr w:type="spellEnd"/>
      <w:r w:rsidRPr="00512004">
        <w:t xml:space="preserve"> -median tutkivan journalistin kotiin</w:t>
      </w:r>
      <w:r>
        <w:t xml:space="preserve"> </w:t>
      </w:r>
      <w:r w:rsidRPr="00512004">
        <w:t xml:space="preserve">Kiovassa ja uhkasivat häntä pakkovärväyksellä Ukrainan armeijaan. </w:t>
      </w:r>
      <w:r w:rsidR="007876C6" w:rsidRPr="00DA0BE1">
        <w:t xml:space="preserve">Toimittajaa vastaan aloitettiin tämän jälkeen mustamaalauskampanja useilla presidenttiä tukevilla </w:t>
      </w:r>
      <w:proofErr w:type="spellStart"/>
      <w:r w:rsidR="007876C6" w:rsidRPr="00DA0BE1">
        <w:t>Telegram</w:t>
      </w:r>
      <w:proofErr w:type="spellEnd"/>
      <w:r w:rsidR="007876C6" w:rsidRPr="00DA0BE1">
        <w:t>-kanavilla.</w:t>
      </w:r>
      <w:r w:rsidRPr="00DA0BE1">
        <w:t xml:space="preserve"> (</w:t>
      </w:r>
      <w:proofErr w:type="spellStart"/>
      <w:r w:rsidRPr="00DA0BE1">
        <w:t>Reporters</w:t>
      </w:r>
      <w:proofErr w:type="spellEnd"/>
      <w:r w:rsidRPr="00DA0BE1">
        <w:t xml:space="preserve"> </w:t>
      </w:r>
      <w:proofErr w:type="spellStart"/>
      <w:r w:rsidRPr="00DA0BE1">
        <w:t>Without</w:t>
      </w:r>
      <w:proofErr w:type="spellEnd"/>
      <w:r w:rsidRPr="00DA0BE1">
        <w:t xml:space="preserve"> </w:t>
      </w:r>
      <w:proofErr w:type="spellStart"/>
      <w:r w:rsidRPr="00DA0BE1">
        <w:t>Borders</w:t>
      </w:r>
      <w:proofErr w:type="spellEnd"/>
      <w:r w:rsidRPr="00DA0BE1">
        <w:t xml:space="preserve"> [päivitetty 6.2.2024]</w:t>
      </w:r>
      <w:r w:rsidR="007876C6" w:rsidRPr="00DA0BE1">
        <w:t>; HRW 16.1.2025.</w:t>
      </w:r>
      <w:r w:rsidRPr="00DA0BE1">
        <w:t>)</w:t>
      </w:r>
    </w:p>
  </w:footnote>
  <w:footnote w:id="11">
    <w:p w14:paraId="58824192" w14:textId="5EA6E852" w:rsidR="009B274B" w:rsidRPr="002400EE" w:rsidRDefault="009B274B" w:rsidP="00210586">
      <w:pPr>
        <w:pStyle w:val="FootnoteText"/>
        <w:rPr>
          <w:lang w:val="en-US"/>
        </w:rPr>
      </w:pPr>
      <w:r>
        <w:rPr>
          <w:rStyle w:val="FootnoteReference"/>
        </w:rPr>
        <w:footnoteRef/>
      </w:r>
      <w:r w:rsidRPr="003B5570">
        <w:t xml:space="preserve"> USDOS 23.4.2024 s. 24</w:t>
      </w:r>
      <w:r>
        <w:t xml:space="preserve">. </w:t>
      </w:r>
      <w:r w:rsidRPr="00E1361F">
        <w:t>Ri</w:t>
      </w:r>
      <w:r>
        <w:t xml:space="preserve">ippumaton tutkivan journalismin sivusto Bihus.info paljasti Ukrainan turvallisuuspalvelun </w:t>
      </w:r>
      <w:proofErr w:type="spellStart"/>
      <w:r>
        <w:t>SBU:n</w:t>
      </w:r>
      <w:proofErr w:type="spellEnd"/>
      <w:r>
        <w:t xml:space="preserve"> (</w:t>
      </w:r>
      <w:proofErr w:type="spellStart"/>
      <w:r>
        <w:t>ukr</w:t>
      </w:r>
      <w:proofErr w:type="spellEnd"/>
      <w:r>
        <w:t xml:space="preserve">. </w:t>
      </w:r>
      <w:proofErr w:type="spellStart"/>
      <w:r w:rsidRPr="00B41262">
        <w:t>Служба</w:t>
      </w:r>
      <w:proofErr w:type="spellEnd"/>
      <w:r w:rsidRPr="00B41262">
        <w:t xml:space="preserve"> </w:t>
      </w:r>
      <w:proofErr w:type="spellStart"/>
      <w:r w:rsidRPr="00B41262">
        <w:t>безпеки</w:t>
      </w:r>
      <w:proofErr w:type="spellEnd"/>
      <w:r w:rsidRPr="00B41262">
        <w:t xml:space="preserve"> </w:t>
      </w:r>
      <w:proofErr w:type="spellStart"/>
      <w:r w:rsidRPr="00B41262">
        <w:t>України</w:t>
      </w:r>
      <w:proofErr w:type="spellEnd"/>
      <w:r>
        <w:t xml:space="preserve">; </w:t>
      </w:r>
      <w:proofErr w:type="spellStart"/>
      <w:r>
        <w:t>translit</w:t>
      </w:r>
      <w:proofErr w:type="spellEnd"/>
      <w:r>
        <w:t xml:space="preserve">. </w:t>
      </w:r>
      <w:proofErr w:type="spellStart"/>
      <w:r w:rsidRPr="00B41262">
        <w:t>Služba</w:t>
      </w:r>
      <w:proofErr w:type="spellEnd"/>
      <w:r w:rsidRPr="00B41262">
        <w:t xml:space="preserve"> </w:t>
      </w:r>
      <w:proofErr w:type="spellStart"/>
      <w:r w:rsidRPr="00B41262">
        <w:t>bezpeky</w:t>
      </w:r>
      <w:proofErr w:type="spellEnd"/>
      <w:r w:rsidRPr="00B41262">
        <w:t xml:space="preserve"> </w:t>
      </w:r>
      <w:proofErr w:type="spellStart"/>
      <w:r w:rsidRPr="00B41262">
        <w:t>Ukrajiny</w:t>
      </w:r>
      <w:proofErr w:type="spellEnd"/>
      <w:r>
        <w:t xml:space="preserve">) tarkkailleen heitä, SBU myönsi asian ja väitti tarkkailun olleen osa huumekauppatutkintaa. </w:t>
      </w:r>
      <w:r w:rsidR="007876C6" w:rsidRPr="00DA0BE1">
        <w:t xml:space="preserve">Asiasta on käynnissä tutkinta. </w:t>
      </w:r>
      <w:proofErr w:type="spellStart"/>
      <w:r>
        <w:t>Kyiv</w:t>
      </w:r>
      <w:proofErr w:type="spellEnd"/>
      <w:r>
        <w:t xml:space="preserve"> </w:t>
      </w:r>
      <w:proofErr w:type="spellStart"/>
      <w:r>
        <w:t>independent</w:t>
      </w:r>
      <w:proofErr w:type="spellEnd"/>
      <w:r>
        <w:t xml:space="preserve"> -uutissivusto on ilmoittanut, että turvallisuusjoukot ovat tarkkailleet heitä. Odessalainen toimittaja kertoi löytäneensä autostaan kuuntelu- ja seurantalaitteen, minkä hän arveli liittyvän hänen viljavientiä koskeviin tutkimuksiinsa. </w:t>
      </w:r>
      <w:r w:rsidRPr="002400EE">
        <w:rPr>
          <w:lang w:val="en-US"/>
        </w:rPr>
        <w:t>(USDOS 23.4.2024 s.</w:t>
      </w:r>
      <w:r w:rsidR="009F3F67">
        <w:rPr>
          <w:lang w:val="en-US"/>
        </w:rPr>
        <w:t xml:space="preserve"> </w:t>
      </w:r>
      <w:r w:rsidRPr="002400EE">
        <w:rPr>
          <w:lang w:val="en-US"/>
        </w:rPr>
        <w:t>24; HRW 16.1.2025; Reporters Without Borders [</w:t>
      </w:r>
      <w:proofErr w:type="spellStart"/>
      <w:r w:rsidRPr="002400EE">
        <w:rPr>
          <w:lang w:val="en-US"/>
        </w:rPr>
        <w:t>päivitetty</w:t>
      </w:r>
      <w:proofErr w:type="spellEnd"/>
      <w:r w:rsidRPr="002400EE">
        <w:rPr>
          <w:lang w:val="en-US"/>
        </w:rPr>
        <w:t xml:space="preserve"> 6.2.2024].)  </w:t>
      </w:r>
    </w:p>
  </w:footnote>
  <w:footnote w:id="12">
    <w:p w14:paraId="6728514E" w14:textId="51195243" w:rsidR="009B274B" w:rsidRPr="002400EE" w:rsidRDefault="009B274B">
      <w:pPr>
        <w:pStyle w:val="FootnoteText"/>
        <w:rPr>
          <w:lang w:val="en-US"/>
        </w:rPr>
      </w:pPr>
      <w:r>
        <w:rPr>
          <w:rStyle w:val="FootnoteReference"/>
        </w:rPr>
        <w:footnoteRef/>
      </w:r>
      <w:r w:rsidRPr="002400EE">
        <w:rPr>
          <w:lang w:val="en-US"/>
        </w:rPr>
        <w:t xml:space="preserve"> HRW 16.1.2025.</w:t>
      </w:r>
    </w:p>
  </w:footnote>
  <w:footnote w:id="13">
    <w:p w14:paraId="6BED6AD8" w14:textId="7FD13A3A" w:rsidR="009B274B" w:rsidRPr="002400EE" w:rsidRDefault="009B274B" w:rsidP="005A49CD">
      <w:pPr>
        <w:pStyle w:val="FootnoteText"/>
        <w:rPr>
          <w:lang w:val="en-US"/>
        </w:rPr>
      </w:pPr>
      <w:r>
        <w:rPr>
          <w:rStyle w:val="FootnoteReference"/>
        </w:rPr>
        <w:footnoteRef/>
      </w:r>
      <w:r w:rsidRPr="002400EE">
        <w:rPr>
          <w:lang w:val="en-US"/>
        </w:rPr>
        <w:t xml:space="preserve"> USDOS 23.4.2024 s.</w:t>
      </w:r>
      <w:r w:rsidR="00B32783">
        <w:rPr>
          <w:lang w:val="en-US"/>
        </w:rPr>
        <w:t xml:space="preserve"> </w:t>
      </w:r>
      <w:r w:rsidRPr="002400EE">
        <w:rPr>
          <w:lang w:val="en-US"/>
        </w:rPr>
        <w:t xml:space="preserve">22–24. </w:t>
      </w:r>
    </w:p>
  </w:footnote>
  <w:footnote w:id="14">
    <w:p w14:paraId="4CAB7203" w14:textId="77777777" w:rsidR="009B274B" w:rsidRPr="002400EE" w:rsidRDefault="009B274B" w:rsidP="00AB24EB">
      <w:pPr>
        <w:pStyle w:val="FootnoteText"/>
        <w:rPr>
          <w:lang w:val="en-US"/>
        </w:rPr>
      </w:pPr>
      <w:r>
        <w:rPr>
          <w:rStyle w:val="FootnoteReference"/>
        </w:rPr>
        <w:footnoteRef/>
      </w:r>
      <w:r w:rsidRPr="002400EE">
        <w:rPr>
          <w:lang w:val="en-US"/>
        </w:rPr>
        <w:t xml:space="preserve"> IMI 13.1.2025. </w:t>
      </w:r>
    </w:p>
  </w:footnote>
  <w:footnote w:id="15">
    <w:p w14:paraId="679A8648" w14:textId="037B7F0D" w:rsidR="009B274B" w:rsidRPr="002400EE" w:rsidRDefault="009B274B">
      <w:pPr>
        <w:pStyle w:val="FootnoteText"/>
        <w:rPr>
          <w:lang w:val="en-US"/>
        </w:rPr>
      </w:pPr>
      <w:r>
        <w:rPr>
          <w:rStyle w:val="FootnoteReference"/>
        </w:rPr>
        <w:footnoteRef/>
      </w:r>
      <w:r w:rsidRPr="002400EE">
        <w:rPr>
          <w:lang w:val="en-US"/>
        </w:rPr>
        <w:t xml:space="preserve"> IMI 13.1.2025.</w:t>
      </w:r>
    </w:p>
  </w:footnote>
  <w:footnote w:id="16">
    <w:p w14:paraId="5614B43F" w14:textId="6FD2BE5F" w:rsidR="009B274B" w:rsidRPr="002400EE" w:rsidRDefault="009B274B">
      <w:pPr>
        <w:pStyle w:val="FootnoteText"/>
        <w:rPr>
          <w:lang w:val="en-US"/>
        </w:rPr>
      </w:pPr>
      <w:r>
        <w:rPr>
          <w:rStyle w:val="FootnoteReference"/>
        </w:rPr>
        <w:footnoteRef/>
      </w:r>
      <w:r w:rsidRPr="002400EE">
        <w:rPr>
          <w:lang w:val="en-US"/>
        </w:rPr>
        <w:t xml:space="preserve"> Freedom House 2024a.</w:t>
      </w:r>
    </w:p>
  </w:footnote>
  <w:footnote w:id="17">
    <w:p w14:paraId="0386639A" w14:textId="18B3C90B" w:rsidR="009B274B" w:rsidRPr="002400EE" w:rsidRDefault="009B274B" w:rsidP="00395BE8">
      <w:pPr>
        <w:pStyle w:val="FootnoteText"/>
        <w:rPr>
          <w:lang w:val="en-US"/>
        </w:rPr>
      </w:pPr>
      <w:r>
        <w:rPr>
          <w:rStyle w:val="FootnoteReference"/>
        </w:rPr>
        <w:footnoteRef/>
      </w:r>
      <w:r w:rsidRPr="002400EE">
        <w:rPr>
          <w:lang w:val="en-US"/>
        </w:rPr>
        <w:t xml:space="preserve"> USDOS 23.4.2024 s.</w:t>
      </w:r>
      <w:r w:rsidR="00B32783">
        <w:rPr>
          <w:lang w:val="en-US"/>
        </w:rPr>
        <w:t xml:space="preserve"> </w:t>
      </w:r>
      <w:r w:rsidRPr="002400EE">
        <w:rPr>
          <w:lang w:val="en-US"/>
        </w:rPr>
        <w:t>22.</w:t>
      </w:r>
    </w:p>
  </w:footnote>
  <w:footnote w:id="18">
    <w:p w14:paraId="55A7C444" w14:textId="02DE28A5" w:rsidR="009B274B" w:rsidRPr="00F43715" w:rsidRDefault="009B274B" w:rsidP="00395BE8">
      <w:pPr>
        <w:pStyle w:val="FootnoteText"/>
        <w:rPr>
          <w:lang w:val="en-US"/>
        </w:rPr>
      </w:pPr>
      <w:r>
        <w:rPr>
          <w:rStyle w:val="FootnoteReference"/>
        </w:rPr>
        <w:footnoteRef/>
      </w:r>
      <w:r w:rsidRPr="00F43715">
        <w:rPr>
          <w:lang w:val="en-US"/>
        </w:rPr>
        <w:t xml:space="preserve"> Freedom House 2024a.</w:t>
      </w:r>
    </w:p>
  </w:footnote>
  <w:footnote w:id="19">
    <w:p w14:paraId="20213CD2" w14:textId="05BBE40B" w:rsidR="009B274B" w:rsidRPr="00F43715" w:rsidRDefault="009B274B" w:rsidP="00395BE8">
      <w:pPr>
        <w:pStyle w:val="FootnoteText"/>
        <w:rPr>
          <w:lang w:val="en-US"/>
        </w:rPr>
      </w:pPr>
      <w:r>
        <w:rPr>
          <w:rStyle w:val="FootnoteReference"/>
        </w:rPr>
        <w:footnoteRef/>
      </w:r>
      <w:r w:rsidRPr="00F43715">
        <w:rPr>
          <w:lang w:val="en-US"/>
        </w:rPr>
        <w:t xml:space="preserve"> Freedom House </w:t>
      </w:r>
      <w:r>
        <w:rPr>
          <w:lang w:val="en-US"/>
        </w:rPr>
        <w:t>16.10.2024</w:t>
      </w:r>
      <w:r w:rsidRPr="00F43715">
        <w:rPr>
          <w:lang w:val="en-US"/>
        </w:rPr>
        <w:t>.</w:t>
      </w:r>
    </w:p>
  </w:footnote>
  <w:footnote w:id="20">
    <w:p w14:paraId="7EED8EF8" w14:textId="1FC9E53C" w:rsidR="009B274B" w:rsidRPr="00F43715" w:rsidRDefault="009B274B">
      <w:pPr>
        <w:pStyle w:val="FootnoteText"/>
        <w:rPr>
          <w:lang w:val="en-US"/>
        </w:rPr>
      </w:pPr>
      <w:r>
        <w:rPr>
          <w:rStyle w:val="FootnoteReference"/>
        </w:rPr>
        <w:footnoteRef/>
      </w:r>
      <w:r w:rsidRPr="00F43715">
        <w:rPr>
          <w:lang w:val="en-US"/>
        </w:rPr>
        <w:t xml:space="preserve"> Freedom House 2024</w:t>
      </w:r>
      <w:r>
        <w:rPr>
          <w:lang w:val="en-US"/>
        </w:rPr>
        <w:t>a</w:t>
      </w:r>
      <w:r w:rsidRPr="00F43715">
        <w:rPr>
          <w:lang w:val="en-US"/>
        </w:rPr>
        <w:t>.</w:t>
      </w:r>
    </w:p>
  </w:footnote>
  <w:footnote w:id="21">
    <w:p w14:paraId="4C6E1072" w14:textId="1664FC72" w:rsidR="009B274B" w:rsidRPr="002400EE" w:rsidRDefault="009B274B" w:rsidP="00A67ECA">
      <w:pPr>
        <w:pStyle w:val="FootnoteText"/>
        <w:rPr>
          <w:lang w:val="en-US"/>
        </w:rPr>
      </w:pPr>
      <w:r>
        <w:rPr>
          <w:rStyle w:val="FootnoteReference"/>
        </w:rPr>
        <w:footnoteRef/>
      </w:r>
      <w:r w:rsidRPr="000643F2">
        <w:rPr>
          <w:lang w:val="en-US"/>
        </w:rPr>
        <w:t xml:space="preserve"> Freedom House </w:t>
      </w:r>
      <w:r>
        <w:rPr>
          <w:lang w:val="en-US"/>
        </w:rPr>
        <w:t>2024a</w:t>
      </w:r>
      <w:r w:rsidRPr="000643F2">
        <w:rPr>
          <w:lang w:val="en-US"/>
        </w:rPr>
        <w:t>; USDOS 23.4.2024 s. 94.</w:t>
      </w:r>
      <w:r>
        <w:rPr>
          <w:lang w:val="en-US"/>
        </w:rPr>
        <w:t xml:space="preserve"> </w:t>
      </w:r>
      <w:proofErr w:type="spellStart"/>
      <w:r w:rsidRPr="00876565">
        <w:t>Freedom</w:t>
      </w:r>
      <w:proofErr w:type="spellEnd"/>
      <w:r w:rsidRPr="00876565">
        <w:t xml:space="preserve"> Housen raportissa mainitaan, e</w:t>
      </w:r>
      <w:r>
        <w:t xml:space="preserve">ttä raportti ei kata Krimin ja itäisen </w:t>
      </w:r>
      <w:proofErr w:type="spellStart"/>
      <w:r>
        <w:t>Donbasin</w:t>
      </w:r>
      <w:proofErr w:type="spellEnd"/>
      <w:r>
        <w:t xml:space="preserve"> alueita.  </w:t>
      </w:r>
      <w:proofErr w:type="spellStart"/>
      <w:r>
        <w:t>USDOSin</w:t>
      </w:r>
      <w:proofErr w:type="spellEnd"/>
      <w:r>
        <w:t xml:space="preserve"> raportissa puolestaan miehitettyjä alueita käsittelevässä osiossa tarkastellaan alueita, jotka olivat Venäjän miehittämiä kirjoittamishetkellä. Näitä ovat Krim, ja osat Donetskin, </w:t>
      </w:r>
      <w:proofErr w:type="spellStart"/>
      <w:r>
        <w:t>Hersonin</w:t>
      </w:r>
      <w:proofErr w:type="spellEnd"/>
      <w:r>
        <w:t xml:space="preserve">, Luhanskin ja </w:t>
      </w:r>
      <w:proofErr w:type="spellStart"/>
      <w:r w:rsidRPr="00A67ECA">
        <w:t>Zaporižžjan</w:t>
      </w:r>
      <w:proofErr w:type="spellEnd"/>
      <w:r w:rsidRPr="00A67ECA">
        <w:t xml:space="preserve"> alue</w:t>
      </w:r>
      <w:r>
        <w:t xml:space="preserve">ita. </w:t>
      </w:r>
      <w:r w:rsidRPr="002400EE">
        <w:rPr>
          <w:lang w:val="en-US"/>
        </w:rPr>
        <w:t>(</w:t>
      </w:r>
      <w:r w:rsidRPr="000643F2">
        <w:rPr>
          <w:lang w:val="en-US"/>
        </w:rPr>
        <w:t xml:space="preserve">Freedom House </w:t>
      </w:r>
      <w:r>
        <w:rPr>
          <w:lang w:val="en-US"/>
        </w:rPr>
        <w:t>2024</w:t>
      </w:r>
      <w:r w:rsidRPr="000643F2">
        <w:rPr>
          <w:lang w:val="en-US"/>
        </w:rPr>
        <w:t xml:space="preserve">; USDOS 23.4.2024 s. </w:t>
      </w:r>
      <w:r>
        <w:rPr>
          <w:lang w:val="en-US"/>
        </w:rPr>
        <w:t>1).</w:t>
      </w:r>
    </w:p>
  </w:footnote>
  <w:footnote w:id="22">
    <w:p w14:paraId="5CB0305D" w14:textId="0C01FB82" w:rsidR="009B274B" w:rsidRPr="002400EE" w:rsidRDefault="009B274B" w:rsidP="0075268A">
      <w:pPr>
        <w:pStyle w:val="FootnoteText"/>
        <w:rPr>
          <w:lang w:val="en-US"/>
        </w:rPr>
      </w:pPr>
      <w:r>
        <w:rPr>
          <w:rStyle w:val="FootnoteReference"/>
        </w:rPr>
        <w:footnoteRef/>
      </w:r>
      <w:r w:rsidRPr="002400EE">
        <w:rPr>
          <w:lang w:val="en-US"/>
        </w:rPr>
        <w:t xml:space="preserve"> Freedom House 2024a.</w:t>
      </w:r>
    </w:p>
  </w:footnote>
  <w:footnote w:id="23">
    <w:p w14:paraId="26BEDCD7" w14:textId="0DC47DCA" w:rsidR="009B274B" w:rsidRPr="002400EE" w:rsidRDefault="009B274B">
      <w:pPr>
        <w:pStyle w:val="FootnoteText"/>
        <w:rPr>
          <w:lang w:val="en-US"/>
        </w:rPr>
      </w:pPr>
      <w:r>
        <w:rPr>
          <w:rStyle w:val="FootnoteReference"/>
        </w:rPr>
        <w:footnoteRef/>
      </w:r>
      <w:r w:rsidRPr="002400EE">
        <w:rPr>
          <w:lang w:val="en-US"/>
        </w:rPr>
        <w:t xml:space="preserve"> USDOS 23.4.2024 s. 95.</w:t>
      </w:r>
    </w:p>
  </w:footnote>
  <w:footnote w:id="24">
    <w:p w14:paraId="33A75D1F" w14:textId="47A41FAF" w:rsidR="009B274B" w:rsidRPr="0075268A" w:rsidRDefault="009B274B">
      <w:pPr>
        <w:pStyle w:val="FootnoteText"/>
        <w:rPr>
          <w:lang w:val="en-US"/>
        </w:rPr>
      </w:pPr>
      <w:r>
        <w:rPr>
          <w:rStyle w:val="FootnoteReference"/>
        </w:rPr>
        <w:footnoteRef/>
      </w:r>
      <w:r w:rsidRPr="0075268A">
        <w:rPr>
          <w:lang w:val="en-US"/>
        </w:rPr>
        <w:t xml:space="preserve"> </w:t>
      </w:r>
      <w:r w:rsidRPr="00774370">
        <w:rPr>
          <w:lang w:val="en-US"/>
        </w:rPr>
        <w:t xml:space="preserve">Amnesty International 24.4.2024, s. </w:t>
      </w:r>
      <w:r>
        <w:rPr>
          <w:lang w:val="en-US"/>
        </w:rPr>
        <w:t>387.</w:t>
      </w:r>
    </w:p>
  </w:footnote>
  <w:footnote w:id="25">
    <w:p w14:paraId="6923372C" w14:textId="4F2EC08B" w:rsidR="009B274B" w:rsidRPr="00774370" w:rsidRDefault="009B274B" w:rsidP="004B4474">
      <w:pPr>
        <w:pStyle w:val="FootnoteText"/>
        <w:rPr>
          <w:lang w:val="en-US"/>
        </w:rPr>
      </w:pPr>
      <w:r>
        <w:rPr>
          <w:rStyle w:val="FootnoteReference"/>
        </w:rPr>
        <w:footnoteRef/>
      </w:r>
      <w:r w:rsidRPr="00774370">
        <w:rPr>
          <w:lang w:val="en-US"/>
        </w:rPr>
        <w:t xml:space="preserve"> USDOS 23.4.2024 s. 98–99.</w:t>
      </w:r>
    </w:p>
  </w:footnote>
  <w:footnote w:id="26">
    <w:p w14:paraId="2B2601CF" w14:textId="4789BB1E" w:rsidR="009B274B" w:rsidRPr="00774370" w:rsidRDefault="009B274B">
      <w:pPr>
        <w:pStyle w:val="FootnoteText"/>
        <w:rPr>
          <w:lang w:val="en-US"/>
        </w:rPr>
      </w:pPr>
      <w:r>
        <w:rPr>
          <w:rStyle w:val="FootnoteReference"/>
        </w:rPr>
        <w:footnoteRef/>
      </w:r>
      <w:r w:rsidRPr="00774370">
        <w:rPr>
          <w:lang w:val="en-US"/>
        </w:rPr>
        <w:t xml:space="preserve"> Amnesty International 24.4.2024, s. </w:t>
      </w:r>
      <w:r>
        <w:rPr>
          <w:lang w:val="en-US"/>
        </w:rPr>
        <w:t>387.</w:t>
      </w:r>
    </w:p>
  </w:footnote>
  <w:footnote w:id="27">
    <w:p w14:paraId="163E0884" w14:textId="53471681" w:rsidR="009B274B" w:rsidRPr="0075268A" w:rsidRDefault="009B274B">
      <w:pPr>
        <w:pStyle w:val="FootnoteText"/>
        <w:rPr>
          <w:lang w:val="en-US"/>
        </w:rPr>
      </w:pPr>
      <w:r>
        <w:rPr>
          <w:rStyle w:val="FootnoteReference"/>
        </w:rPr>
        <w:footnoteRef/>
      </w:r>
      <w:r w:rsidRPr="0075268A">
        <w:rPr>
          <w:lang w:val="en-US"/>
        </w:rPr>
        <w:t xml:space="preserve"> USDOS 23.4.2024 s. 94.</w:t>
      </w:r>
    </w:p>
  </w:footnote>
  <w:footnote w:id="28">
    <w:p w14:paraId="294DE3F0" w14:textId="1868DEAB" w:rsidR="009B274B" w:rsidRPr="002400EE" w:rsidRDefault="009B274B">
      <w:pPr>
        <w:pStyle w:val="FootnoteText"/>
        <w:rPr>
          <w:lang w:val="en-US"/>
        </w:rPr>
      </w:pPr>
      <w:r>
        <w:rPr>
          <w:rStyle w:val="FootnoteReference"/>
        </w:rPr>
        <w:footnoteRef/>
      </w:r>
      <w:r w:rsidRPr="002400EE">
        <w:rPr>
          <w:lang w:val="en-US"/>
        </w:rPr>
        <w:t xml:space="preserve"> UN OHCHR 2/2025, s. 4. </w:t>
      </w:r>
    </w:p>
  </w:footnote>
  <w:footnote w:id="29">
    <w:p w14:paraId="468DFDA2" w14:textId="77777777" w:rsidR="009B274B" w:rsidRPr="002400EE" w:rsidRDefault="009B274B" w:rsidP="001726F3">
      <w:pPr>
        <w:pStyle w:val="FootnoteText"/>
        <w:rPr>
          <w:lang w:val="en-US"/>
        </w:rPr>
      </w:pPr>
      <w:r>
        <w:rPr>
          <w:rStyle w:val="FootnoteReference"/>
        </w:rPr>
        <w:footnoteRef/>
      </w:r>
      <w:r w:rsidRPr="002400EE">
        <w:rPr>
          <w:lang w:val="en-US"/>
        </w:rPr>
        <w:t xml:space="preserve"> IMI 24.2.2025.</w:t>
      </w:r>
    </w:p>
  </w:footnote>
  <w:footnote w:id="30">
    <w:p w14:paraId="11EC3319" w14:textId="482E7B6F" w:rsidR="009B274B" w:rsidRPr="001F0B72" w:rsidRDefault="009B274B" w:rsidP="001F0B72">
      <w:pPr>
        <w:pStyle w:val="FootnoteText"/>
        <w:rPr>
          <w:lang w:val="en-US"/>
        </w:rPr>
      </w:pPr>
      <w:r>
        <w:rPr>
          <w:rStyle w:val="FootnoteReference"/>
        </w:rPr>
        <w:footnoteRef/>
      </w:r>
      <w:r w:rsidRPr="001F0B72">
        <w:rPr>
          <w:lang w:val="en-US"/>
        </w:rPr>
        <w:t xml:space="preserve"> Freedom House </w:t>
      </w:r>
      <w:r>
        <w:rPr>
          <w:lang w:val="en-US"/>
        </w:rPr>
        <w:t>2024b.</w:t>
      </w:r>
    </w:p>
  </w:footnote>
  <w:footnote w:id="31">
    <w:p w14:paraId="7D028207" w14:textId="5F5DD979" w:rsidR="009B274B" w:rsidRPr="00DA0BE1" w:rsidRDefault="009B274B" w:rsidP="007D65BB">
      <w:pPr>
        <w:pStyle w:val="FootnoteText"/>
      </w:pPr>
      <w:r>
        <w:rPr>
          <w:rStyle w:val="FootnoteReference"/>
        </w:rPr>
        <w:footnoteRef/>
      </w:r>
      <w:r w:rsidRPr="00BB4AA4">
        <w:t xml:space="preserve"> UN OHCHR 2/2025, s. 4.</w:t>
      </w:r>
      <w:r w:rsidR="00BB4AA4" w:rsidRPr="00BB4AA4">
        <w:t xml:space="preserve"> </w:t>
      </w:r>
      <w:r w:rsidR="00BB4AA4" w:rsidRPr="00DA0BE1">
        <w:t>Tässä kyselyvastauksessa ei käsitellä Venäjän</w:t>
      </w:r>
      <w:r w:rsidR="00F86D38" w:rsidRPr="00DA0BE1">
        <w:t xml:space="preserve"> federaation</w:t>
      </w:r>
      <w:r w:rsidR="00BB4AA4" w:rsidRPr="00DA0BE1">
        <w:t xml:space="preserve"> lainsäädäntöä. Venäjän lainsäädäntöä koskien Venäjän asevoimien</w:t>
      </w:r>
      <w:r w:rsidR="00A864DA" w:rsidRPr="00DA0BE1">
        <w:t xml:space="preserve"> </w:t>
      </w:r>
      <w:r w:rsidR="00BB4AA4" w:rsidRPr="00DA0BE1">
        <w:t xml:space="preserve">halventamista ja Venäjän asevoimia koskevan valheellisen informaation tahallista levittämistä on käsitelty Maahanmuuttoviraston maatietopalvelun 12.5.2022 päivätyssä kyselyvastauksessa. Muita sanan- ja toiminnanvapautta rajoittavia lakimuutoksia </w:t>
      </w:r>
      <w:r w:rsidR="00F86D38" w:rsidRPr="00DA0BE1">
        <w:t xml:space="preserve">Venäjällä </w:t>
      </w:r>
      <w:r w:rsidR="00BB4AA4" w:rsidRPr="00DA0BE1">
        <w:t>käsitellään Maahanmuuttoviraston maatietopalvelun 21.3.2023 päivätyssä kyselyvastauksessa.</w:t>
      </w:r>
    </w:p>
  </w:footnote>
  <w:footnote w:id="32">
    <w:p w14:paraId="711A80BF" w14:textId="2ED5A094" w:rsidR="009B274B" w:rsidRPr="00ED5C47" w:rsidRDefault="009B274B">
      <w:pPr>
        <w:pStyle w:val="FootnoteText"/>
        <w:rPr>
          <w:lang w:val="en-US"/>
        </w:rPr>
      </w:pPr>
      <w:r w:rsidRPr="00DA0BE1">
        <w:rPr>
          <w:rStyle w:val="FootnoteReference"/>
        </w:rPr>
        <w:footnoteRef/>
      </w:r>
      <w:r w:rsidRPr="00DA0BE1">
        <w:rPr>
          <w:lang w:val="en-US"/>
        </w:rPr>
        <w:t xml:space="preserve"> Freedom House 2024c.</w:t>
      </w:r>
    </w:p>
  </w:footnote>
  <w:footnote w:id="33">
    <w:p w14:paraId="6EEA1C5F" w14:textId="1E2140DD" w:rsidR="00D00216" w:rsidRPr="00993E9A" w:rsidRDefault="00D00216">
      <w:pPr>
        <w:pStyle w:val="FootnoteText"/>
        <w:rPr>
          <w:lang w:val="en-US"/>
        </w:rPr>
      </w:pPr>
      <w:r>
        <w:rPr>
          <w:rStyle w:val="FootnoteReference"/>
        </w:rPr>
        <w:footnoteRef/>
      </w:r>
      <w:r w:rsidRPr="00993E9A">
        <w:rPr>
          <w:lang w:val="en-US"/>
        </w:rPr>
        <w:t xml:space="preserve"> CEPA 25.9.2024.</w:t>
      </w:r>
      <w:r w:rsidR="006D08C9" w:rsidRPr="00993E9A">
        <w:rPr>
          <w:lang w:val="en-US"/>
        </w:rPr>
        <w:t xml:space="preserve"> </w:t>
      </w:r>
    </w:p>
  </w:footnote>
  <w:footnote w:id="34">
    <w:p w14:paraId="702A7374" w14:textId="16DF30B0" w:rsidR="004F67AA" w:rsidRPr="004F67AA" w:rsidRDefault="004F67AA">
      <w:pPr>
        <w:pStyle w:val="FootnoteText"/>
        <w:rPr>
          <w:lang w:val="en-US"/>
        </w:rPr>
      </w:pPr>
      <w:r>
        <w:rPr>
          <w:rStyle w:val="FootnoteReference"/>
        </w:rPr>
        <w:footnoteRef/>
      </w:r>
      <w:r w:rsidRPr="004F67AA">
        <w:rPr>
          <w:lang w:val="en-US"/>
        </w:rPr>
        <w:t xml:space="preserve"> Kyiv Independent 26.7.2023; Kyiv Independent 25.7.2023</w:t>
      </w:r>
      <w:r w:rsidR="00D34487">
        <w:rPr>
          <w:lang w:val="en-US"/>
        </w:rPr>
        <w:t>.</w:t>
      </w:r>
    </w:p>
  </w:footnote>
  <w:footnote w:id="35">
    <w:p w14:paraId="63130BE9" w14:textId="2C647973" w:rsidR="009B274B" w:rsidRPr="003C0614" w:rsidRDefault="009B274B">
      <w:pPr>
        <w:pStyle w:val="FootnoteText"/>
        <w:rPr>
          <w:lang w:val="en-US"/>
        </w:rPr>
      </w:pPr>
      <w:r>
        <w:rPr>
          <w:rStyle w:val="FootnoteReference"/>
        </w:rPr>
        <w:footnoteRef/>
      </w:r>
      <w:r w:rsidRPr="006B2337">
        <w:rPr>
          <w:lang w:val="en-US"/>
        </w:rPr>
        <w:t xml:space="preserve"> </w:t>
      </w:r>
      <w:r w:rsidR="0063614E">
        <w:rPr>
          <w:lang w:val="en-US"/>
        </w:rPr>
        <w:t xml:space="preserve">The Danish Immigration Service </w:t>
      </w:r>
      <w:r>
        <w:rPr>
          <w:lang w:val="en-US"/>
        </w:rPr>
        <w:t xml:space="preserve">4 / 2024, </w:t>
      </w:r>
      <w:r w:rsidRPr="006B2337">
        <w:rPr>
          <w:lang w:val="en-US"/>
        </w:rPr>
        <w:t>s.</w:t>
      </w:r>
      <w:r>
        <w:rPr>
          <w:lang w:val="en-US"/>
        </w:rPr>
        <w:t xml:space="preserve"> </w:t>
      </w:r>
      <w:r w:rsidRPr="006B2337">
        <w:rPr>
          <w:lang w:val="en-US"/>
        </w:rPr>
        <w:t>50</w:t>
      </w:r>
      <w:r w:rsidRPr="003C0614">
        <w:rPr>
          <w:lang w:val="en-US"/>
        </w:rPr>
        <w:t>.</w:t>
      </w:r>
    </w:p>
  </w:footnote>
  <w:footnote w:id="36">
    <w:p w14:paraId="653FA416" w14:textId="77777777" w:rsidR="009B274B" w:rsidRPr="00AC7DAB" w:rsidRDefault="009B274B" w:rsidP="00AC7DAB">
      <w:pPr>
        <w:pStyle w:val="FootnoteText"/>
        <w:rPr>
          <w:lang w:val="en-US"/>
        </w:rPr>
      </w:pPr>
      <w:r>
        <w:rPr>
          <w:rStyle w:val="FootnoteReference"/>
        </w:rPr>
        <w:footnoteRef/>
      </w:r>
      <w:r w:rsidRPr="00AC7DAB">
        <w:rPr>
          <w:lang w:val="en-US"/>
        </w:rPr>
        <w:t xml:space="preserve"> KHPG 29.1.2024.</w:t>
      </w:r>
    </w:p>
  </w:footnote>
  <w:footnote w:id="37">
    <w:p w14:paraId="5D313F3C" w14:textId="5934BF9F" w:rsidR="009B274B" w:rsidRPr="001B41B3" w:rsidRDefault="009B274B">
      <w:pPr>
        <w:pStyle w:val="FootnoteText"/>
        <w:rPr>
          <w:lang w:val="en-US"/>
        </w:rPr>
      </w:pPr>
      <w:r>
        <w:rPr>
          <w:rStyle w:val="FootnoteReference"/>
        </w:rPr>
        <w:footnoteRef/>
      </w:r>
      <w:r w:rsidRPr="001B41B3">
        <w:rPr>
          <w:lang w:val="en-US"/>
        </w:rPr>
        <w:t xml:space="preserve"> </w:t>
      </w:r>
      <w:r w:rsidR="0063614E">
        <w:rPr>
          <w:lang w:val="en-US"/>
        </w:rPr>
        <w:t xml:space="preserve">The Danish Immigration Service </w:t>
      </w:r>
      <w:r>
        <w:rPr>
          <w:lang w:val="en-US"/>
        </w:rPr>
        <w:t xml:space="preserve">4 / 2024, </w:t>
      </w:r>
      <w:r w:rsidRPr="006B2337">
        <w:rPr>
          <w:lang w:val="en-US"/>
        </w:rPr>
        <w:t>s.</w:t>
      </w:r>
      <w:r>
        <w:rPr>
          <w:lang w:val="en-US"/>
        </w:rPr>
        <w:t xml:space="preserve"> </w:t>
      </w:r>
      <w:r w:rsidRPr="006B2337">
        <w:rPr>
          <w:lang w:val="en-US"/>
        </w:rPr>
        <w:t>50</w:t>
      </w:r>
      <w:r>
        <w:rPr>
          <w:lang w:val="en-US"/>
        </w:rPr>
        <w:t>–51.</w:t>
      </w:r>
    </w:p>
  </w:footnote>
  <w:footnote w:id="38">
    <w:p w14:paraId="46295B2A" w14:textId="54042711" w:rsidR="009B274B" w:rsidRPr="005D5BFD" w:rsidRDefault="009B274B" w:rsidP="0012273F">
      <w:pPr>
        <w:pStyle w:val="FootnoteText"/>
        <w:rPr>
          <w:lang w:val="sv-SE"/>
        </w:rPr>
      </w:pPr>
      <w:r>
        <w:rPr>
          <w:rStyle w:val="FootnoteReference"/>
        </w:rPr>
        <w:footnoteRef/>
      </w:r>
      <w:r w:rsidRPr="005D5BFD">
        <w:rPr>
          <w:lang w:val="sv-SE"/>
        </w:rPr>
        <w:t xml:space="preserve"> KHPG 29.1.2024; HRW 5.12.2024</w:t>
      </w:r>
      <w:r>
        <w:rPr>
          <w:lang w:val="sv-SE"/>
        </w:rPr>
        <w:t xml:space="preserve">; </w:t>
      </w:r>
      <w:r w:rsidRPr="00BB3F46">
        <w:rPr>
          <w:lang w:val="sv-SE"/>
        </w:rPr>
        <w:t>Ukraina 5.4.2001.</w:t>
      </w:r>
    </w:p>
  </w:footnote>
  <w:footnote w:id="39">
    <w:p w14:paraId="483272D1" w14:textId="52B93034" w:rsidR="009B274B" w:rsidRPr="0039733C" w:rsidRDefault="009B274B">
      <w:pPr>
        <w:pStyle w:val="FootnoteText"/>
        <w:rPr>
          <w:lang w:val="sv-SE"/>
        </w:rPr>
      </w:pPr>
      <w:r>
        <w:rPr>
          <w:rStyle w:val="FootnoteReference"/>
        </w:rPr>
        <w:footnoteRef/>
      </w:r>
      <w:r w:rsidRPr="0039733C">
        <w:rPr>
          <w:lang w:val="sv-SE"/>
        </w:rPr>
        <w:t xml:space="preserve"> HRW 5.12.2024; </w:t>
      </w:r>
      <w:r w:rsidRPr="00AC7DAB">
        <w:rPr>
          <w:lang w:val="sv-SE"/>
        </w:rPr>
        <w:t xml:space="preserve">Amnesty International </w:t>
      </w:r>
      <w:r w:rsidRPr="000643F2">
        <w:rPr>
          <w:lang w:val="sv-SE"/>
        </w:rPr>
        <w:t>24.4.2024,</w:t>
      </w:r>
      <w:r w:rsidRPr="00AC7DAB">
        <w:rPr>
          <w:lang w:val="sv-SE"/>
        </w:rPr>
        <w:t xml:space="preserve"> s. 385.</w:t>
      </w:r>
    </w:p>
  </w:footnote>
  <w:footnote w:id="40">
    <w:p w14:paraId="36C6B6B6" w14:textId="4B705B3F" w:rsidR="009B274B" w:rsidRPr="00EB7825" w:rsidRDefault="009B274B">
      <w:pPr>
        <w:pStyle w:val="FootnoteText"/>
        <w:rPr>
          <w:lang w:val="sv-SE"/>
        </w:rPr>
      </w:pPr>
      <w:r>
        <w:rPr>
          <w:rStyle w:val="FootnoteReference"/>
        </w:rPr>
        <w:footnoteRef/>
      </w:r>
      <w:r w:rsidRPr="0039733C">
        <w:rPr>
          <w:lang w:val="sv-SE"/>
        </w:rPr>
        <w:t xml:space="preserve"> KHPG 29.1.2024. </w:t>
      </w:r>
    </w:p>
  </w:footnote>
  <w:footnote w:id="41">
    <w:p w14:paraId="3B17C3AD" w14:textId="1011F197" w:rsidR="009B274B" w:rsidRPr="002400EE" w:rsidRDefault="009B274B">
      <w:pPr>
        <w:pStyle w:val="FootnoteText"/>
        <w:rPr>
          <w:lang w:val="sv-SE"/>
        </w:rPr>
      </w:pPr>
      <w:r>
        <w:rPr>
          <w:rStyle w:val="FootnoteReference"/>
        </w:rPr>
        <w:footnoteRef/>
      </w:r>
      <w:r w:rsidRPr="002400EE">
        <w:rPr>
          <w:lang w:val="sv-SE"/>
        </w:rPr>
        <w:t xml:space="preserve"> </w:t>
      </w:r>
      <w:proofErr w:type="spellStart"/>
      <w:r w:rsidRPr="002400EE">
        <w:rPr>
          <w:lang w:val="sv-SE"/>
        </w:rPr>
        <w:t>Freedom</w:t>
      </w:r>
      <w:proofErr w:type="spellEnd"/>
      <w:r w:rsidRPr="002400EE">
        <w:rPr>
          <w:lang w:val="sv-SE"/>
        </w:rPr>
        <w:t xml:space="preserve"> House 16.10.2024; </w:t>
      </w:r>
      <w:r w:rsidRPr="00BB3F46">
        <w:rPr>
          <w:lang w:val="sv-SE"/>
        </w:rPr>
        <w:t>Ukraina 5.4.2001.</w:t>
      </w:r>
    </w:p>
  </w:footnote>
  <w:footnote w:id="42">
    <w:p w14:paraId="3AC905D7" w14:textId="6C9B7523" w:rsidR="009B274B" w:rsidRPr="002400EE" w:rsidRDefault="009B274B" w:rsidP="00183B77">
      <w:pPr>
        <w:pStyle w:val="FootnoteText"/>
        <w:rPr>
          <w:lang w:val="sv-SE"/>
        </w:rPr>
      </w:pPr>
      <w:r>
        <w:rPr>
          <w:rStyle w:val="FootnoteReference"/>
        </w:rPr>
        <w:footnoteRef/>
      </w:r>
      <w:r w:rsidRPr="002400EE">
        <w:rPr>
          <w:lang w:val="sv-SE"/>
        </w:rPr>
        <w:t xml:space="preserve"> Amnesty International 24.4.2024, s. 385. </w:t>
      </w:r>
    </w:p>
  </w:footnote>
  <w:footnote w:id="43">
    <w:p w14:paraId="3A2E7F6A" w14:textId="77777777" w:rsidR="009B274B" w:rsidRPr="00CC2B58" w:rsidRDefault="009B274B" w:rsidP="00AC7DAB">
      <w:pPr>
        <w:pStyle w:val="FootnoteText"/>
        <w:rPr>
          <w:lang w:val="sv-SE"/>
        </w:rPr>
      </w:pPr>
      <w:r>
        <w:rPr>
          <w:rStyle w:val="FootnoteReference"/>
        </w:rPr>
        <w:footnoteRef/>
      </w:r>
      <w:r w:rsidRPr="00CC2B58">
        <w:rPr>
          <w:lang w:val="sv-SE"/>
        </w:rPr>
        <w:t xml:space="preserve"> KHPG 29.1.2024.</w:t>
      </w:r>
    </w:p>
  </w:footnote>
  <w:footnote w:id="44">
    <w:p w14:paraId="4BEF6F84" w14:textId="77777777" w:rsidR="009B274B" w:rsidRPr="00AC7DAB" w:rsidRDefault="009B274B" w:rsidP="00A00EE1">
      <w:pPr>
        <w:pStyle w:val="FootnoteText"/>
        <w:rPr>
          <w:lang w:val="sv-SE"/>
        </w:rPr>
      </w:pPr>
      <w:r>
        <w:rPr>
          <w:rStyle w:val="FootnoteReference"/>
        </w:rPr>
        <w:footnoteRef/>
      </w:r>
      <w:r w:rsidRPr="00AC7DAB">
        <w:rPr>
          <w:lang w:val="sv-SE"/>
        </w:rPr>
        <w:t xml:space="preserve"> KHPG 29.1.2024.</w:t>
      </w:r>
    </w:p>
  </w:footnote>
  <w:footnote w:id="45">
    <w:p w14:paraId="714625A3" w14:textId="77777777" w:rsidR="009B274B" w:rsidRPr="005D5BFD" w:rsidRDefault="009B274B" w:rsidP="00CC2B58">
      <w:pPr>
        <w:pStyle w:val="FootnoteText"/>
        <w:rPr>
          <w:lang w:val="sv-SE"/>
        </w:rPr>
      </w:pPr>
      <w:r>
        <w:rPr>
          <w:rStyle w:val="FootnoteReference"/>
        </w:rPr>
        <w:footnoteRef/>
      </w:r>
      <w:r w:rsidRPr="005D5BFD">
        <w:rPr>
          <w:lang w:val="sv-SE"/>
        </w:rPr>
        <w:t xml:space="preserve"> KHPG 29.1.2024.</w:t>
      </w:r>
    </w:p>
  </w:footnote>
  <w:footnote w:id="46">
    <w:p w14:paraId="22AB2A4C" w14:textId="0728A74A" w:rsidR="009B274B" w:rsidRPr="008D40C6" w:rsidRDefault="009B274B" w:rsidP="00AC7DAB">
      <w:pPr>
        <w:pStyle w:val="FootnoteText"/>
        <w:rPr>
          <w:lang w:val="sv-SE"/>
        </w:rPr>
      </w:pPr>
      <w:r>
        <w:rPr>
          <w:rStyle w:val="FootnoteReference"/>
        </w:rPr>
        <w:footnoteRef/>
      </w:r>
      <w:r w:rsidRPr="008D40C6">
        <w:rPr>
          <w:lang w:val="sv-SE"/>
        </w:rPr>
        <w:t xml:space="preserve"> Amnesty International 24.4.2024, s. 385. </w:t>
      </w:r>
    </w:p>
  </w:footnote>
  <w:footnote w:id="47">
    <w:p w14:paraId="66D2E6E4" w14:textId="77777777" w:rsidR="009B274B" w:rsidRPr="006F30DB" w:rsidRDefault="009B274B" w:rsidP="00977138">
      <w:pPr>
        <w:pStyle w:val="FootnoteText"/>
        <w:rPr>
          <w:lang w:val="sv-SE"/>
        </w:rPr>
      </w:pPr>
      <w:r>
        <w:rPr>
          <w:rStyle w:val="FootnoteReference"/>
        </w:rPr>
        <w:footnoteRef/>
      </w:r>
      <w:r w:rsidRPr="006F30DB">
        <w:rPr>
          <w:lang w:val="sv-SE"/>
        </w:rPr>
        <w:t xml:space="preserve"> KHPG 29.1.2024.</w:t>
      </w:r>
    </w:p>
  </w:footnote>
  <w:footnote w:id="48">
    <w:p w14:paraId="6FD779FF" w14:textId="2E093FD1" w:rsidR="009B274B" w:rsidRPr="006F30DB" w:rsidRDefault="009B274B" w:rsidP="00977138">
      <w:pPr>
        <w:pStyle w:val="FootnoteText"/>
        <w:rPr>
          <w:lang w:val="sv-SE"/>
        </w:rPr>
      </w:pPr>
      <w:r>
        <w:rPr>
          <w:rStyle w:val="FootnoteReference"/>
        </w:rPr>
        <w:footnoteRef/>
      </w:r>
      <w:r w:rsidRPr="006F30DB">
        <w:rPr>
          <w:lang w:val="sv-SE"/>
        </w:rPr>
        <w:t xml:space="preserve"> Amnesty International 24.4.2024, s. 385. </w:t>
      </w:r>
    </w:p>
  </w:footnote>
  <w:footnote w:id="49">
    <w:p w14:paraId="5940A9A5" w14:textId="7891B039" w:rsidR="00565C9E" w:rsidRPr="00091CCB" w:rsidRDefault="00565C9E">
      <w:pPr>
        <w:pStyle w:val="FootnoteText"/>
      </w:pPr>
      <w:r>
        <w:rPr>
          <w:rStyle w:val="FootnoteReference"/>
        </w:rPr>
        <w:footnoteRef/>
      </w:r>
      <w:r w:rsidR="00091CCB">
        <w:rPr>
          <w:lang w:val="sv-SE"/>
        </w:rPr>
        <w:t xml:space="preserve"> </w:t>
      </w:r>
      <w:proofErr w:type="spellStart"/>
      <w:r w:rsidRPr="001453CE">
        <w:rPr>
          <w:lang w:val="sv-SE"/>
        </w:rPr>
        <w:t>Rikoslain</w:t>
      </w:r>
      <w:proofErr w:type="spellEnd"/>
      <w:r w:rsidRPr="001453CE">
        <w:rPr>
          <w:lang w:val="sv-SE"/>
        </w:rPr>
        <w:t xml:space="preserve"> 111 </w:t>
      </w:r>
      <w:r w:rsidRPr="001453CE">
        <w:rPr>
          <w:bCs/>
          <w:lang w:val="sv-SE"/>
        </w:rPr>
        <w:t xml:space="preserve">§ </w:t>
      </w:r>
      <w:proofErr w:type="spellStart"/>
      <w:r w:rsidRPr="001453CE">
        <w:rPr>
          <w:bCs/>
          <w:lang w:val="sv-SE"/>
        </w:rPr>
        <w:t>käsittelee</w:t>
      </w:r>
      <w:proofErr w:type="spellEnd"/>
      <w:r w:rsidRPr="001453CE">
        <w:rPr>
          <w:bCs/>
          <w:lang w:val="sv-SE"/>
        </w:rPr>
        <w:t xml:space="preserve"> </w:t>
      </w:r>
      <w:proofErr w:type="spellStart"/>
      <w:r w:rsidRPr="001453CE">
        <w:rPr>
          <w:bCs/>
          <w:lang w:val="sv-SE"/>
        </w:rPr>
        <w:t>maanpetosta</w:t>
      </w:r>
      <w:proofErr w:type="spellEnd"/>
      <w:r w:rsidRPr="001453CE">
        <w:rPr>
          <w:bCs/>
          <w:color w:val="FF0000"/>
          <w:lang w:val="sv-SE"/>
        </w:rPr>
        <w:t>.</w:t>
      </w:r>
      <w:r w:rsidRPr="001453CE">
        <w:rPr>
          <w:color w:val="FF0000"/>
          <w:lang w:val="sv-SE"/>
        </w:rPr>
        <w:t xml:space="preserve"> </w:t>
      </w:r>
      <w:r w:rsidRPr="00091CCB">
        <w:t xml:space="preserve">Maanpetoksesta määrätään 12–15 vuoden vankeusrangaistus. Rangaistukseen voi kuulua omaisuuden takavarikointi. Sotatilalain aikana tehdystä maanpetoksesta rangaistuksena on 15 vuoden vankeustuomio tai elinkautinen vankeusrangaistus. Rangaistukseen sisältyy omaisuuden takavarikointi. </w:t>
      </w:r>
      <w:r w:rsidRPr="00091CCB">
        <w:rPr>
          <w:bCs/>
        </w:rPr>
        <w:t>(</w:t>
      </w:r>
      <w:r w:rsidRPr="00091CCB">
        <w:t xml:space="preserve">HRW 5.12.2024; </w:t>
      </w:r>
      <w:r w:rsidR="00292E35" w:rsidRPr="00091CCB">
        <w:t xml:space="preserve">GOLAW 9.6.2022; </w:t>
      </w:r>
      <w:r w:rsidR="00F6341A" w:rsidRPr="00091CCB">
        <w:t>Ukraina 5.4.2001</w:t>
      </w:r>
      <w:r w:rsidRPr="00091CCB">
        <w:t>).</w:t>
      </w:r>
    </w:p>
  </w:footnote>
  <w:footnote w:id="50">
    <w:p w14:paraId="787C6888" w14:textId="39D8B7BB" w:rsidR="00112F5E" w:rsidRPr="00565C9E" w:rsidRDefault="00112F5E">
      <w:pPr>
        <w:pStyle w:val="FootnoteText"/>
      </w:pPr>
      <w:r>
        <w:rPr>
          <w:rStyle w:val="FootnoteReference"/>
        </w:rPr>
        <w:footnoteRef/>
      </w:r>
      <w:r w:rsidR="008E1BA3" w:rsidRPr="00565C9E">
        <w:t xml:space="preserve"> </w:t>
      </w:r>
      <w:proofErr w:type="spellStart"/>
      <w:r w:rsidR="003E75EE" w:rsidRPr="00565C9E">
        <w:t>Freedom</w:t>
      </w:r>
      <w:proofErr w:type="spellEnd"/>
      <w:r w:rsidR="003E75EE" w:rsidRPr="00565C9E">
        <w:t xml:space="preserve"> House 16.10.2024.</w:t>
      </w:r>
    </w:p>
  </w:footnote>
  <w:footnote w:id="51">
    <w:p w14:paraId="4EF1F7F5" w14:textId="77777777" w:rsidR="00061D72" w:rsidRPr="00B02FF7" w:rsidRDefault="00061D72" w:rsidP="00061D72">
      <w:pPr>
        <w:pStyle w:val="FootnoteText"/>
        <w:rPr>
          <w:lang w:val="en-US"/>
        </w:rPr>
      </w:pPr>
      <w:r>
        <w:rPr>
          <w:rStyle w:val="FootnoteReference"/>
        </w:rPr>
        <w:footnoteRef/>
      </w:r>
      <w:r w:rsidRPr="00B02FF7">
        <w:rPr>
          <w:lang w:val="en-US"/>
        </w:rPr>
        <w:t xml:space="preserve"> Freedom House 16.10.2024.</w:t>
      </w:r>
    </w:p>
  </w:footnote>
  <w:footnote w:id="52">
    <w:p w14:paraId="33C255F6" w14:textId="77777777" w:rsidR="00061D72" w:rsidRPr="00CE4C6A" w:rsidRDefault="00061D72" w:rsidP="00061D72">
      <w:pPr>
        <w:pStyle w:val="FootnoteText"/>
        <w:rPr>
          <w:lang w:val="en-US"/>
        </w:rPr>
      </w:pPr>
      <w:r>
        <w:rPr>
          <w:rStyle w:val="FootnoteReference"/>
        </w:rPr>
        <w:footnoteRef/>
      </w:r>
      <w:r w:rsidRPr="00CE4C6A">
        <w:rPr>
          <w:lang w:val="en-US"/>
        </w:rPr>
        <w:t xml:space="preserve"> KHPG </w:t>
      </w:r>
      <w:r>
        <w:rPr>
          <w:lang w:val="en-US"/>
        </w:rPr>
        <w:t xml:space="preserve">21.1.2021; </w:t>
      </w:r>
      <w:proofErr w:type="spellStart"/>
      <w:r w:rsidRPr="001453CE">
        <w:rPr>
          <w:lang w:val="en-US"/>
        </w:rPr>
        <w:t>Ukraina</w:t>
      </w:r>
      <w:proofErr w:type="spellEnd"/>
      <w:r w:rsidRPr="001453CE">
        <w:rPr>
          <w:lang w:val="en-US"/>
        </w:rPr>
        <w:t xml:space="preserve"> 5.4.2001.</w:t>
      </w:r>
    </w:p>
  </w:footnote>
  <w:footnote w:id="53">
    <w:p w14:paraId="41687DAF" w14:textId="77777777" w:rsidR="00061D72" w:rsidRPr="00B02FF7" w:rsidRDefault="00061D72" w:rsidP="00061D72">
      <w:pPr>
        <w:pStyle w:val="FootnoteText"/>
        <w:rPr>
          <w:lang w:val="en-US"/>
        </w:rPr>
      </w:pPr>
      <w:r>
        <w:rPr>
          <w:rStyle w:val="FootnoteReference"/>
        </w:rPr>
        <w:footnoteRef/>
      </w:r>
      <w:r w:rsidRPr="00B02FF7">
        <w:rPr>
          <w:lang w:val="en-US"/>
        </w:rPr>
        <w:t xml:space="preserve"> Freedom House 16.10.2024.</w:t>
      </w:r>
    </w:p>
  </w:footnote>
  <w:footnote w:id="54">
    <w:p w14:paraId="60AA68B5" w14:textId="77777777" w:rsidR="00061D72" w:rsidRPr="00CE4C6A" w:rsidRDefault="00061D72" w:rsidP="00061D72">
      <w:pPr>
        <w:pStyle w:val="FootnoteText"/>
        <w:rPr>
          <w:lang w:val="en-US"/>
        </w:rPr>
      </w:pPr>
      <w:r>
        <w:rPr>
          <w:rStyle w:val="FootnoteReference"/>
        </w:rPr>
        <w:footnoteRef/>
      </w:r>
      <w:r w:rsidRPr="00CE4C6A">
        <w:rPr>
          <w:lang w:val="en-US"/>
        </w:rPr>
        <w:t xml:space="preserve"> KHPG</w:t>
      </w:r>
      <w:r>
        <w:rPr>
          <w:lang w:val="en-US"/>
        </w:rPr>
        <w:t xml:space="preserve"> </w:t>
      </w:r>
      <w:r w:rsidRPr="00822B44">
        <w:rPr>
          <w:lang w:val="en-US"/>
        </w:rPr>
        <w:t>20.1.2021</w:t>
      </w:r>
      <w:r>
        <w:rPr>
          <w:lang w:val="en-US"/>
        </w:rPr>
        <w:t xml:space="preserve">; </w:t>
      </w:r>
      <w:proofErr w:type="spellStart"/>
      <w:r w:rsidRPr="001453CE">
        <w:rPr>
          <w:lang w:val="en-US"/>
        </w:rPr>
        <w:t>Ukraina</w:t>
      </w:r>
      <w:proofErr w:type="spellEnd"/>
      <w:r w:rsidRPr="001453CE">
        <w:rPr>
          <w:lang w:val="en-US"/>
        </w:rPr>
        <w:t xml:space="preserve"> 5.4.2001.</w:t>
      </w:r>
    </w:p>
  </w:footnote>
  <w:footnote w:id="55">
    <w:p w14:paraId="047FC232" w14:textId="77777777" w:rsidR="00061D72" w:rsidRPr="00B02FF7" w:rsidRDefault="00061D72" w:rsidP="00061D72">
      <w:pPr>
        <w:pStyle w:val="FootnoteText"/>
        <w:rPr>
          <w:lang w:val="en-US"/>
        </w:rPr>
      </w:pPr>
      <w:r>
        <w:rPr>
          <w:rStyle w:val="FootnoteReference"/>
        </w:rPr>
        <w:footnoteRef/>
      </w:r>
      <w:r w:rsidRPr="00B02FF7">
        <w:rPr>
          <w:lang w:val="en-US"/>
        </w:rPr>
        <w:t xml:space="preserve"> Freedom House 16.10.2024.</w:t>
      </w:r>
    </w:p>
  </w:footnote>
  <w:footnote w:id="56">
    <w:p w14:paraId="3449B4DB" w14:textId="77777777" w:rsidR="00061D72" w:rsidRPr="00B02FF7" w:rsidRDefault="00061D72" w:rsidP="00061D72">
      <w:pPr>
        <w:pStyle w:val="FootnoteText"/>
        <w:rPr>
          <w:lang w:val="en-US"/>
        </w:rPr>
      </w:pPr>
      <w:r>
        <w:rPr>
          <w:rStyle w:val="FootnoteReference"/>
        </w:rPr>
        <w:footnoteRef/>
      </w:r>
      <w:r w:rsidRPr="00B02FF7">
        <w:rPr>
          <w:lang w:val="en-US"/>
        </w:rPr>
        <w:t xml:space="preserve"> Freedom House 16.10.2024.</w:t>
      </w:r>
    </w:p>
  </w:footnote>
  <w:footnote w:id="57">
    <w:p w14:paraId="27CAEE2C" w14:textId="55D11037" w:rsidR="009B274B" w:rsidRPr="00565C9E" w:rsidRDefault="009B274B">
      <w:pPr>
        <w:pStyle w:val="FootnoteText"/>
      </w:pPr>
      <w:r>
        <w:rPr>
          <w:rStyle w:val="FootnoteReference"/>
        </w:rPr>
        <w:footnoteRef/>
      </w:r>
      <w:r w:rsidRPr="00565C9E">
        <w:t xml:space="preserve"> </w:t>
      </w:r>
      <w:proofErr w:type="spellStart"/>
      <w:r w:rsidRPr="00565C9E">
        <w:rPr>
          <w:rStyle w:val="Hyperlink"/>
          <w:color w:val="auto"/>
          <w:u w:val="none"/>
        </w:rPr>
        <w:t>Syniuk</w:t>
      </w:r>
      <w:proofErr w:type="spellEnd"/>
      <w:r w:rsidRPr="00565C9E">
        <w:rPr>
          <w:rStyle w:val="Hyperlink"/>
          <w:color w:val="auto"/>
          <w:u w:val="none"/>
        </w:rPr>
        <w:t xml:space="preserve"> &amp; </w:t>
      </w:r>
      <w:proofErr w:type="spellStart"/>
      <w:r w:rsidRPr="00565C9E">
        <w:rPr>
          <w:rStyle w:val="Hyperlink"/>
          <w:color w:val="auto"/>
          <w:u w:val="none"/>
        </w:rPr>
        <w:t>Lunova</w:t>
      </w:r>
      <w:proofErr w:type="spellEnd"/>
      <w:r w:rsidRPr="00565C9E">
        <w:rPr>
          <w:rStyle w:val="Hyperlink"/>
          <w:color w:val="auto"/>
          <w:u w:val="none"/>
        </w:rPr>
        <w:t xml:space="preserve"> 2023</w:t>
      </w:r>
      <w:r w:rsidRPr="00565C9E">
        <w:t>, s. 11–13; HRW 5.12.2024; Ukraina 5.4.2001.</w:t>
      </w:r>
    </w:p>
  </w:footnote>
  <w:footnote w:id="58">
    <w:p w14:paraId="0EA67E68" w14:textId="462CE1B6" w:rsidR="009B274B" w:rsidRPr="001453CE" w:rsidRDefault="009B274B">
      <w:pPr>
        <w:pStyle w:val="FootnoteText"/>
        <w:rPr>
          <w:lang w:val="en-US"/>
        </w:rPr>
      </w:pPr>
      <w:r>
        <w:rPr>
          <w:rStyle w:val="FootnoteReference"/>
        </w:rPr>
        <w:footnoteRef/>
      </w:r>
      <w:r w:rsidRPr="001453CE">
        <w:rPr>
          <w:lang w:val="en-US"/>
        </w:rPr>
        <w:t xml:space="preserve"> HRW 5.12.2024; </w:t>
      </w:r>
      <w:proofErr w:type="spellStart"/>
      <w:r w:rsidR="009107E5" w:rsidRPr="001453CE">
        <w:rPr>
          <w:lang w:val="en-US"/>
        </w:rPr>
        <w:t>Ukraina</w:t>
      </w:r>
      <w:proofErr w:type="spellEnd"/>
      <w:r w:rsidR="009107E5" w:rsidRPr="001453CE">
        <w:rPr>
          <w:lang w:val="en-US"/>
        </w:rPr>
        <w:t xml:space="preserve"> 5.4.2001.</w:t>
      </w:r>
    </w:p>
  </w:footnote>
  <w:footnote w:id="59">
    <w:p w14:paraId="37AB0E5F" w14:textId="235CA50A" w:rsidR="009B274B" w:rsidRPr="001453CE" w:rsidRDefault="009B274B">
      <w:pPr>
        <w:pStyle w:val="FootnoteText"/>
      </w:pPr>
      <w:r>
        <w:rPr>
          <w:rStyle w:val="FootnoteReference"/>
        </w:rPr>
        <w:footnoteRef/>
      </w:r>
      <w:r w:rsidRPr="001453CE">
        <w:rPr>
          <w:lang w:val="en-US"/>
        </w:rPr>
        <w:t xml:space="preserve"> HRW 5.12.2024; KHPG 6.2. </w:t>
      </w:r>
      <w:r w:rsidRPr="00174FA8">
        <w:rPr>
          <w:lang w:val="en-US"/>
        </w:rPr>
        <w:t>2025</w:t>
      </w:r>
      <w:r w:rsidR="00174FA8" w:rsidRPr="00174FA8">
        <w:rPr>
          <w:lang w:val="en-US"/>
        </w:rPr>
        <w:t xml:space="preserve">; </w:t>
      </w:r>
      <w:r w:rsidR="00174FA8" w:rsidRPr="004A3777">
        <w:rPr>
          <w:lang w:val="en-US"/>
        </w:rPr>
        <w:t xml:space="preserve">Human Rights Centre ZMINA et al. </w:t>
      </w:r>
      <w:r w:rsidR="00174FA8" w:rsidRPr="001453CE">
        <w:t>[päiväämätön], s.4.</w:t>
      </w:r>
    </w:p>
  </w:footnote>
  <w:footnote w:id="60">
    <w:p w14:paraId="40A6F9C9" w14:textId="3DB7D5FE" w:rsidR="009B274B" w:rsidRPr="002400EE" w:rsidRDefault="009B274B">
      <w:pPr>
        <w:pStyle w:val="FootnoteText"/>
      </w:pPr>
      <w:r>
        <w:rPr>
          <w:rStyle w:val="FootnoteReference"/>
        </w:rPr>
        <w:footnoteRef/>
      </w:r>
      <w:r w:rsidRPr="001453CE">
        <w:t xml:space="preserve"> KHPG 6.2. 2025; Human Rights Centre ZMINA et al. </w:t>
      </w:r>
      <w:r w:rsidRPr="002400EE">
        <w:t xml:space="preserve">[päiväämätön], s.4. </w:t>
      </w:r>
    </w:p>
  </w:footnote>
  <w:footnote w:id="61">
    <w:p w14:paraId="67B015E6" w14:textId="1C8D68AF" w:rsidR="00B66793" w:rsidRPr="0087621F" w:rsidRDefault="009B274B" w:rsidP="00B66793">
      <w:pPr>
        <w:pStyle w:val="FootnoteText"/>
      </w:pPr>
      <w:r>
        <w:rPr>
          <w:rStyle w:val="FootnoteReference"/>
        </w:rPr>
        <w:footnoteRef/>
      </w:r>
      <w:r w:rsidRPr="0059710F">
        <w:rPr>
          <w:lang w:val="en-US"/>
        </w:rPr>
        <w:t xml:space="preserve"> </w:t>
      </w:r>
      <w:r w:rsidRPr="0087621F">
        <w:rPr>
          <w:lang w:val="en-US"/>
        </w:rPr>
        <w:t>HRW 5.12.2024; KHPG 6.2. 2025</w:t>
      </w:r>
      <w:r w:rsidR="00B66793" w:rsidRPr="0087621F">
        <w:rPr>
          <w:lang w:val="en-US"/>
        </w:rPr>
        <w:t xml:space="preserve">; Human Rights Centre ZMINA et al. </w:t>
      </w:r>
      <w:r w:rsidR="00B66793" w:rsidRPr="0087621F">
        <w:t>[päiväämätön], s.</w:t>
      </w:r>
      <w:r w:rsidR="00057565" w:rsidRPr="0087621F">
        <w:t xml:space="preserve"> </w:t>
      </w:r>
      <w:r w:rsidR="00B66793" w:rsidRPr="0087621F">
        <w:t>5.</w:t>
      </w:r>
    </w:p>
    <w:p w14:paraId="4FAFAB37" w14:textId="32880DB4" w:rsidR="009B274B" w:rsidRPr="006D5FF3" w:rsidRDefault="009B274B" w:rsidP="00E675DA">
      <w:pPr>
        <w:pStyle w:val="FootnoteText"/>
      </w:pPr>
      <w:r w:rsidRPr="0087621F">
        <w:rPr>
          <w:bCs/>
        </w:rPr>
        <w:t>3</w:t>
      </w:r>
      <w:r w:rsidR="0087621F">
        <w:rPr>
          <w:bCs/>
        </w:rPr>
        <w:t>.</w:t>
      </w:r>
      <w:r w:rsidRPr="0087621F">
        <w:rPr>
          <w:bCs/>
        </w:rPr>
        <w:t xml:space="preserve"> momentti käsittää propagandan oppilaitoksissa Ukrainan vastaisen aseellisen hyökkäyksen helpottamiseksi ja toimet, joiden tarkoituksena on panna täytäntöön hyökkääjävaltion koulutusstandardit. </w:t>
      </w:r>
      <w:r w:rsidRPr="0087621F">
        <w:t>4</w:t>
      </w:r>
      <w:r w:rsidR="0087621F">
        <w:t>.</w:t>
      </w:r>
      <w:r w:rsidRPr="0087621F">
        <w:t xml:space="preserve"> momentti sisältää </w:t>
      </w:r>
      <w:r w:rsidR="006D5FF3" w:rsidRPr="0087621F">
        <w:t xml:space="preserve">muun muassa </w:t>
      </w:r>
      <w:r w:rsidRPr="0087621F">
        <w:t>aineellisten resurssien siirtämi</w:t>
      </w:r>
      <w:r w:rsidR="00A4785D" w:rsidRPr="0087621F">
        <w:t>s</w:t>
      </w:r>
      <w:r w:rsidRPr="0087621F">
        <w:t xml:space="preserve">en </w:t>
      </w:r>
      <w:r w:rsidR="006D5FF3" w:rsidRPr="0087621F">
        <w:t xml:space="preserve">laittomille aseellisille tai puolisotilaallisille ryhmittymille väliaikaisesti miehitetyillä alueilla ja / tai </w:t>
      </w:r>
      <w:r w:rsidRPr="0087621F">
        <w:t>hyökkääjävaltio</w:t>
      </w:r>
      <w:r w:rsidR="006D5FF3" w:rsidRPr="0087621F">
        <w:t>n aseellisille tai puolisotilaallisille ryhmittymille</w:t>
      </w:r>
      <w:r w:rsidRPr="0087621F">
        <w:t xml:space="preserve"> ja </w:t>
      </w:r>
      <w:r w:rsidR="006D5FF3" w:rsidRPr="0087621F">
        <w:t xml:space="preserve">/ tai </w:t>
      </w:r>
      <w:r w:rsidRPr="0087621F">
        <w:t xml:space="preserve">taloudellisen toiminnan </w:t>
      </w:r>
      <w:r w:rsidR="006D5FF3" w:rsidRPr="0087621F">
        <w:t xml:space="preserve">yhteistyössä </w:t>
      </w:r>
      <w:r w:rsidRPr="0087621F">
        <w:t>hyökkääjävaltion kanssa.</w:t>
      </w:r>
      <w:r w:rsidRPr="0087621F">
        <w:rPr>
          <w:bCs/>
        </w:rPr>
        <w:t xml:space="preserve"> </w:t>
      </w:r>
      <w:r w:rsidRPr="0087621F">
        <w:t>Laissa rangaistaan myös useiden julkisen sektorin töiden tekemi</w:t>
      </w:r>
      <w:r w:rsidR="006D5FF3" w:rsidRPr="0087621F">
        <w:t>sestä</w:t>
      </w:r>
      <w:r w:rsidRPr="0087621F">
        <w:t xml:space="preserve"> miehityshallinnon alaisuudessa. 2</w:t>
      </w:r>
      <w:r w:rsidR="0087621F">
        <w:t>.</w:t>
      </w:r>
      <w:r w:rsidRPr="0087621F">
        <w:t xml:space="preserve"> momentti käsittää vapaaehtoisen työskentelyn tehtävässä, joka ei liity organis</w:t>
      </w:r>
      <w:r w:rsidR="006D5FF3" w:rsidRPr="0087621F">
        <w:t>atoris</w:t>
      </w:r>
      <w:r w:rsidRPr="0087621F">
        <w:t>hallinnollisten tai hallinnollistaloudellisten tehtävien hoitamiseen</w:t>
      </w:r>
      <w:r w:rsidR="006D5FF3" w:rsidRPr="0087621F">
        <w:t xml:space="preserve"> miehitetyllä alueella perustetuissa laittomissa viranomaisissa, mukaan lukien miehityshallinnossa</w:t>
      </w:r>
      <w:r w:rsidRPr="0087621F">
        <w:t>, mikä on laissa rikkomus. 5</w:t>
      </w:r>
      <w:r w:rsidR="0087621F">
        <w:t>.</w:t>
      </w:r>
      <w:r w:rsidRPr="0087621F">
        <w:t xml:space="preserve"> momentti </w:t>
      </w:r>
      <w:r w:rsidR="00222F09" w:rsidRPr="0087621F">
        <w:t xml:space="preserve">puolestaan </w:t>
      </w:r>
      <w:r w:rsidRPr="0087621F">
        <w:t xml:space="preserve">käsittää </w:t>
      </w:r>
      <w:r w:rsidR="00982DC8" w:rsidRPr="0087621F">
        <w:t>muun muassa</w:t>
      </w:r>
      <w:r w:rsidRPr="0087621F">
        <w:t xml:space="preserve"> vapaaehtoi</w:t>
      </w:r>
      <w:r w:rsidR="00982DC8" w:rsidRPr="0087621F">
        <w:t>s</w:t>
      </w:r>
      <w:r w:rsidRPr="0087621F">
        <w:t>en työskentelyn tehtävässä, joka liittyy organi</w:t>
      </w:r>
      <w:r w:rsidR="006D5FF3" w:rsidRPr="0087621F">
        <w:t>satoris</w:t>
      </w:r>
      <w:r w:rsidRPr="0087621F">
        <w:t>hallinnollisten tai hallinnollistaloudellisten tehtävien hoitamiseen.</w:t>
      </w:r>
      <w:r w:rsidR="00945836" w:rsidRPr="0087621F">
        <w:t xml:space="preserve"> </w:t>
      </w:r>
      <w:r w:rsidR="00A4785D" w:rsidRPr="0087621F">
        <w:t>5</w:t>
      </w:r>
      <w:r w:rsidR="0087621F">
        <w:t>.</w:t>
      </w:r>
      <w:r w:rsidR="00A4785D" w:rsidRPr="0087621F">
        <w:t xml:space="preserve"> momentin teosta seuraamuksena on vankeusrangaistus. </w:t>
      </w:r>
      <w:r w:rsidRPr="0087621F">
        <w:t>(HRW 5.12.2024; KHPG 6.2. 2025</w:t>
      </w:r>
      <w:r w:rsidR="00057565" w:rsidRPr="0087621F">
        <w:t>; Human Rights Centre ZMINA et al. [päiväämätön], s.</w:t>
      </w:r>
      <w:r w:rsidR="0087621F">
        <w:t xml:space="preserve"> </w:t>
      </w:r>
      <w:r w:rsidR="00057565" w:rsidRPr="0087621F">
        <w:t>4–5.</w:t>
      </w:r>
      <w:r w:rsidRPr="0087621F">
        <w:t>)</w:t>
      </w:r>
    </w:p>
  </w:footnote>
  <w:footnote w:id="62">
    <w:p w14:paraId="35DE19F0" w14:textId="253699F3" w:rsidR="009B274B" w:rsidRDefault="009B274B" w:rsidP="00ED7623">
      <w:pPr>
        <w:pStyle w:val="FootnoteText"/>
      </w:pPr>
      <w:r>
        <w:rPr>
          <w:rStyle w:val="FootnoteReference"/>
        </w:rPr>
        <w:footnoteRef/>
      </w:r>
      <w:r w:rsidRPr="0059710F">
        <w:t xml:space="preserve"> KHPG 6.2. 2025; Human Rights Centre ZMINA et al. </w:t>
      </w:r>
      <w:r w:rsidRPr="005D3C1A">
        <w:t>[päiväämätön],</w:t>
      </w:r>
      <w:r w:rsidRPr="00E13158">
        <w:t xml:space="preserve"> </w:t>
      </w:r>
      <w:r>
        <w:t xml:space="preserve">s. 5. </w:t>
      </w:r>
    </w:p>
  </w:footnote>
  <w:footnote w:id="63">
    <w:p w14:paraId="672FC512" w14:textId="3ABCBEBE" w:rsidR="009B274B" w:rsidRPr="00E13158" w:rsidRDefault="009B274B">
      <w:pPr>
        <w:pStyle w:val="FootnoteText"/>
      </w:pPr>
      <w:r>
        <w:rPr>
          <w:rStyle w:val="FootnoteReference"/>
        </w:rPr>
        <w:footnoteRef/>
      </w:r>
      <w:r w:rsidRPr="0059710F">
        <w:rPr>
          <w:lang w:val="en-US"/>
        </w:rPr>
        <w:t xml:space="preserve"> Human Rights Centre ZMINA et al. </w:t>
      </w:r>
      <w:r w:rsidRPr="005D3C1A">
        <w:t>[päiväämätön],</w:t>
      </w:r>
      <w:r w:rsidRPr="00E13158">
        <w:t xml:space="preserve"> </w:t>
      </w:r>
      <w:r>
        <w:t>s. 6.</w:t>
      </w:r>
    </w:p>
  </w:footnote>
  <w:footnote w:id="64">
    <w:p w14:paraId="113C8E84" w14:textId="43A60272" w:rsidR="009B274B" w:rsidRPr="008D40C6" w:rsidRDefault="009B274B">
      <w:pPr>
        <w:pStyle w:val="FootnoteText"/>
      </w:pPr>
      <w:r>
        <w:rPr>
          <w:rStyle w:val="FootnoteReference"/>
        </w:rPr>
        <w:footnoteRef/>
      </w:r>
      <w:r w:rsidRPr="008D40C6">
        <w:t xml:space="preserve"> </w:t>
      </w:r>
      <w:proofErr w:type="spellStart"/>
      <w:r w:rsidRPr="008D40C6">
        <w:rPr>
          <w:rStyle w:val="Hyperlink"/>
          <w:color w:val="auto"/>
          <w:u w:val="none"/>
        </w:rPr>
        <w:t>Syniuk</w:t>
      </w:r>
      <w:proofErr w:type="spellEnd"/>
      <w:r w:rsidRPr="008D40C6">
        <w:rPr>
          <w:rStyle w:val="Hyperlink"/>
          <w:color w:val="auto"/>
          <w:u w:val="none"/>
        </w:rPr>
        <w:t xml:space="preserve"> &amp; </w:t>
      </w:r>
      <w:proofErr w:type="spellStart"/>
      <w:r w:rsidRPr="008D40C6">
        <w:rPr>
          <w:rStyle w:val="Hyperlink"/>
          <w:color w:val="auto"/>
          <w:u w:val="none"/>
        </w:rPr>
        <w:t>Lunova</w:t>
      </w:r>
      <w:proofErr w:type="spellEnd"/>
      <w:r w:rsidRPr="008D40C6">
        <w:rPr>
          <w:rStyle w:val="Hyperlink"/>
          <w:color w:val="auto"/>
          <w:u w:val="none"/>
        </w:rPr>
        <w:t xml:space="preserve"> 2023</w:t>
      </w:r>
      <w:r w:rsidRPr="008D40C6">
        <w:t xml:space="preserve"> s. 46. </w:t>
      </w:r>
    </w:p>
  </w:footnote>
  <w:footnote w:id="65">
    <w:p w14:paraId="38D43906" w14:textId="1F2152A4" w:rsidR="009B274B" w:rsidRDefault="009B274B">
      <w:pPr>
        <w:pStyle w:val="FootnoteText"/>
      </w:pPr>
      <w:r>
        <w:rPr>
          <w:rStyle w:val="FootnoteReference"/>
        </w:rPr>
        <w:footnoteRef/>
      </w:r>
      <w:r>
        <w:t xml:space="preserve"> </w:t>
      </w:r>
      <w:r w:rsidRPr="00330B91">
        <w:t>HRW 5.12.2024</w:t>
      </w:r>
      <w:r>
        <w:t>.</w:t>
      </w:r>
    </w:p>
  </w:footnote>
  <w:footnote w:id="66">
    <w:p w14:paraId="2F980FD0" w14:textId="77687A8A" w:rsidR="009B274B" w:rsidRDefault="009B274B">
      <w:pPr>
        <w:pStyle w:val="FootnoteText"/>
      </w:pPr>
      <w:r>
        <w:rPr>
          <w:rStyle w:val="FootnoteReference"/>
        </w:rPr>
        <w:footnoteRef/>
      </w:r>
      <w:r>
        <w:t xml:space="preserve"> </w:t>
      </w:r>
      <w:proofErr w:type="spellStart"/>
      <w:r>
        <w:t>Syniuk</w:t>
      </w:r>
      <w:proofErr w:type="spellEnd"/>
      <w:r>
        <w:t xml:space="preserve"> et al. 2024, s. 18</w:t>
      </w:r>
      <w:r w:rsidR="00FE0CD0">
        <w:t>, 20.</w:t>
      </w:r>
    </w:p>
  </w:footnote>
  <w:footnote w:id="67">
    <w:p w14:paraId="07D75450" w14:textId="566CF8D6" w:rsidR="009B274B" w:rsidRPr="0059710F" w:rsidRDefault="009B274B">
      <w:pPr>
        <w:pStyle w:val="FootnoteText"/>
        <w:rPr>
          <w:lang w:val="en-US"/>
        </w:rPr>
      </w:pPr>
      <w:r>
        <w:rPr>
          <w:rStyle w:val="FootnoteReference"/>
        </w:rPr>
        <w:footnoteRef/>
      </w:r>
      <w:r w:rsidRPr="0059710F">
        <w:rPr>
          <w:lang w:val="en-US"/>
        </w:rPr>
        <w:t xml:space="preserve"> HRW 5.12.2024.</w:t>
      </w:r>
    </w:p>
  </w:footnote>
  <w:footnote w:id="68">
    <w:p w14:paraId="47E5A746" w14:textId="77777777" w:rsidR="009B274B" w:rsidRPr="002400EE" w:rsidRDefault="009B274B" w:rsidP="00B56E4C">
      <w:pPr>
        <w:pStyle w:val="FootnoteText"/>
        <w:rPr>
          <w:lang w:val="en-US"/>
        </w:rPr>
      </w:pPr>
      <w:r>
        <w:rPr>
          <w:rStyle w:val="FootnoteReference"/>
        </w:rPr>
        <w:footnoteRef/>
      </w:r>
      <w:r w:rsidRPr="002400EE">
        <w:rPr>
          <w:lang w:val="en-US"/>
        </w:rPr>
        <w:t xml:space="preserve"> HRW 5.12.2024.</w:t>
      </w:r>
    </w:p>
  </w:footnote>
  <w:footnote w:id="69">
    <w:p w14:paraId="396C43B8" w14:textId="1C2E19E0" w:rsidR="009B274B" w:rsidRPr="002400EE" w:rsidRDefault="009B274B">
      <w:pPr>
        <w:pStyle w:val="FootnoteText"/>
        <w:rPr>
          <w:lang w:val="en-US"/>
        </w:rPr>
      </w:pPr>
      <w:r>
        <w:rPr>
          <w:rStyle w:val="FootnoteReference"/>
        </w:rPr>
        <w:footnoteRef/>
      </w:r>
      <w:r w:rsidRPr="002400EE">
        <w:rPr>
          <w:lang w:val="en-US"/>
        </w:rPr>
        <w:t xml:space="preserve"> UN OHCHR 1.10.2024, s. 26.</w:t>
      </w:r>
    </w:p>
  </w:footnote>
  <w:footnote w:id="70">
    <w:p w14:paraId="15215FE8" w14:textId="1873156E" w:rsidR="009B274B" w:rsidRPr="008D40C6" w:rsidRDefault="009B274B">
      <w:pPr>
        <w:pStyle w:val="FootnoteText"/>
        <w:rPr>
          <w:lang w:val="sv-SE"/>
        </w:rPr>
      </w:pPr>
      <w:r>
        <w:rPr>
          <w:rStyle w:val="FootnoteReference"/>
        </w:rPr>
        <w:footnoteRef/>
      </w:r>
      <w:r w:rsidRPr="008D40C6">
        <w:rPr>
          <w:lang w:val="sv-SE"/>
        </w:rPr>
        <w:t xml:space="preserve"> KHPG 6.2. 2025</w:t>
      </w:r>
    </w:p>
  </w:footnote>
  <w:footnote w:id="71">
    <w:p w14:paraId="56BAC6D6" w14:textId="18E94E55" w:rsidR="009B274B" w:rsidRPr="001453CE" w:rsidRDefault="009B274B">
      <w:pPr>
        <w:pStyle w:val="FootnoteText"/>
        <w:rPr>
          <w:lang w:val="sv-SE"/>
        </w:rPr>
      </w:pPr>
      <w:r>
        <w:rPr>
          <w:rStyle w:val="FootnoteReference"/>
        </w:rPr>
        <w:footnoteRef/>
      </w:r>
      <w:r w:rsidRPr="001453CE">
        <w:rPr>
          <w:lang w:val="sv-SE"/>
        </w:rPr>
        <w:t xml:space="preserve"> </w:t>
      </w:r>
      <w:proofErr w:type="spellStart"/>
      <w:r w:rsidRPr="001453CE">
        <w:rPr>
          <w:lang w:val="sv-SE"/>
        </w:rPr>
        <w:t>Syniuk</w:t>
      </w:r>
      <w:proofErr w:type="spellEnd"/>
      <w:r w:rsidRPr="001453CE">
        <w:rPr>
          <w:lang w:val="sv-SE"/>
        </w:rPr>
        <w:t xml:space="preserve"> et al. 2024, s. 18. </w:t>
      </w:r>
    </w:p>
  </w:footnote>
  <w:footnote w:id="72">
    <w:p w14:paraId="41A01AB7" w14:textId="1D20C7E9" w:rsidR="009B274B" w:rsidRPr="008D40C6" w:rsidRDefault="009B274B" w:rsidP="00DC73A7">
      <w:pPr>
        <w:pStyle w:val="FootnoteText"/>
      </w:pPr>
      <w:r>
        <w:rPr>
          <w:rStyle w:val="FootnoteReference"/>
        </w:rPr>
        <w:footnoteRef/>
      </w:r>
      <w:r w:rsidRPr="001453CE">
        <w:rPr>
          <w:lang w:val="sv-SE"/>
        </w:rPr>
        <w:t xml:space="preserve"> KHPG 6.2. </w:t>
      </w:r>
      <w:r w:rsidRPr="00584D45">
        <w:t xml:space="preserve">2025; </w:t>
      </w:r>
      <w:proofErr w:type="spellStart"/>
      <w:r w:rsidRPr="00584D45">
        <w:t>Syniuk</w:t>
      </w:r>
      <w:proofErr w:type="spellEnd"/>
      <w:r w:rsidRPr="00584D45">
        <w:t xml:space="preserve"> et al. 2024, s. 22. </w:t>
      </w:r>
    </w:p>
  </w:footnote>
  <w:footnote w:id="73">
    <w:p w14:paraId="2044E729" w14:textId="77777777" w:rsidR="009B274B" w:rsidRPr="008D40C6" w:rsidRDefault="009B274B" w:rsidP="003E25D6">
      <w:pPr>
        <w:pStyle w:val="FootnoteText"/>
      </w:pPr>
      <w:r>
        <w:rPr>
          <w:rStyle w:val="FootnoteReference"/>
        </w:rPr>
        <w:footnoteRef/>
      </w:r>
      <w:r w:rsidRPr="008D40C6">
        <w:t xml:space="preserve"> </w:t>
      </w:r>
      <w:proofErr w:type="spellStart"/>
      <w:r w:rsidRPr="008D40C6">
        <w:t>Syniuk</w:t>
      </w:r>
      <w:proofErr w:type="spellEnd"/>
      <w:r w:rsidRPr="008D40C6">
        <w:t xml:space="preserve"> et al. 2024, s. 22.</w:t>
      </w:r>
    </w:p>
  </w:footnote>
  <w:footnote w:id="74">
    <w:p w14:paraId="0E64E218" w14:textId="129ADB4A" w:rsidR="009B274B" w:rsidRPr="005B5C41" w:rsidRDefault="009B274B" w:rsidP="003E25D6">
      <w:pPr>
        <w:pStyle w:val="FootnoteText"/>
      </w:pPr>
      <w:r>
        <w:rPr>
          <w:rStyle w:val="FootnoteReference"/>
        </w:rPr>
        <w:footnoteRef/>
      </w:r>
      <w:r w:rsidR="00A33F3C">
        <w:t xml:space="preserve"> </w:t>
      </w:r>
      <w:proofErr w:type="spellStart"/>
      <w:r w:rsidRPr="005B5C41">
        <w:t>Syniuk</w:t>
      </w:r>
      <w:proofErr w:type="spellEnd"/>
      <w:r w:rsidRPr="005B5C41">
        <w:t xml:space="preserve"> et al. 2024, s. </w:t>
      </w:r>
      <w:r w:rsidR="00442C97">
        <w:t>19</w:t>
      </w:r>
      <w:r w:rsidRPr="005B5C41">
        <w:t>, Ukra</w:t>
      </w:r>
      <w:r>
        <w:t xml:space="preserve">ina 13.4.2012. </w:t>
      </w:r>
      <w:r w:rsidRPr="005B5C41">
        <w:t xml:space="preserve">111-1 </w:t>
      </w:r>
      <w:r w:rsidRPr="008D2111">
        <w:t xml:space="preserve">§:n </w:t>
      </w:r>
      <w:r w:rsidRPr="005B5C41">
        <w:t>1 ja</w:t>
      </w:r>
      <w:r>
        <w:t xml:space="preserve"> 2</w:t>
      </w:r>
      <w:r w:rsidR="0040261A">
        <w:t xml:space="preserve"> momentit</w:t>
      </w:r>
      <w:r>
        <w:t xml:space="preserve"> voidaan käsitellä yksinkertaistetussa menettelyssä, sillä ne ovat rikkomuksia. (</w:t>
      </w:r>
      <w:proofErr w:type="spellStart"/>
      <w:r>
        <w:t>Syniuk</w:t>
      </w:r>
      <w:proofErr w:type="spellEnd"/>
      <w:r>
        <w:t xml:space="preserve"> et </w:t>
      </w:r>
      <w:proofErr w:type="spellStart"/>
      <w:r>
        <w:t>al</w:t>
      </w:r>
      <w:proofErr w:type="spellEnd"/>
      <w:r>
        <w:t xml:space="preserve"> 2024, s. 19.)</w:t>
      </w:r>
    </w:p>
  </w:footnote>
  <w:footnote w:id="75">
    <w:p w14:paraId="7511CD94" w14:textId="77777777" w:rsidR="009B274B" w:rsidRPr="00CA586E" w:rsidRDefault="009B274B" w:rsidP="00CA586E">
      <w:pPr>
        <w:pStyle w:val="FootnoteText"/>
      </w:pPr>
      <w:r>
        <w:rPr>
          <w:rStyle w:val="FootnoteReference"/>
        </w:rPr>
        <w:footnoteRef/>
      </w:r>
      <w:r w:rsidRPr="005B5C41">
        <w:t xml:space="preserve"> KHPG 6.2. </w:t>
      </w:r>
      <w:r w:rsidRPr="00CA586E">
        <w:t xml:space="preserve">2025. </w:t>
      </w:r>
    </w:p>
  </w:footnote>
  <w:footnote w:id="76">
    <w:p w14:paraId="0CC1B370" w14:textId="77777777" w:rsidR="009B274B" w:rsidRPr="008D40C6" w:rsidRDefault="009B274B" w:rsidP="00481907">
      <w:pPr>
        <w:pStyle w:val="FootnoteText"/>
      </w:pPr>
      <w:r>
        <w:rPr>
          <w:rStyle w:val="FootnoteReference"/>
        </w:rPr>
        <w:footnoteRef/>
      </w:r>
      <w:r w:rsidRPr="008D40C6">
        <w:t xml:space="preserve"> KHPG 6.2. 2025: </w:t>
      </w:r>
      <w:proofErr w:type="spellStart"/>
      <w:r w:rsidRPr="008D40C6">
        <w:rPr>
          <w:rStyle w:val="Hyperlink"/>
          <w:color w:val="auto"/>
          <w:u w:val="none"/>
        </w:rPr>
        <w:t>Syniuk</w:t>
      </w:r>
      <w:proofErr w:type="spellEnd"/>
      <w:r w:rsidRPr="008D40C6">
        <w:rPr>
          <w:rStyle w:val="Hyperlink"/>
          <w:color w:val="auto"/>
          <w:u w:val="none"/>
        </w:rPr>
        <w:t xml:space="preserve"> &amp; </w:t>
      </w:r>
      <w:proofErr w:type="spellStart"/>
      <w:r w:rsidRPr="008D40C6">
        <w:rPr>
          <w:rStyle w:val="Hyperlink"/>
          <w:color w:val="auto"/>
          <w:u w:val="none"/>
        </w:rPr>
        <w:t>Lunova</w:t>
      </w:r>
      <w:proofErr w:type="spellEnd"/>
      <w:r w:rsidRPr="008D40C6">
        <w:rPr>
          <w:rStyle w:val="Hyperlink"/>
          <w:color w:val="auto"/>
          <w:u w:val="none"/>
        </w:rPr>
        <w:t xml:space="preserve"> 2023</w:t>
      </w:r>
      <w:r w:rsidRPr="008D40C6">
        <w:t>, s. 8, 36.</w:t>
      </w:r>
    </w:p>
  </w:footnote>
  <w:footnote w:id="77">
    <w:p w14:paraId="7E0D96A4" w14:textId="77777777" w:rsidR="009B274B" w:rsidRDefault="009B274B" w:rsidP="00481907">
      <w:pPr>
        <w:pStyle w:val="FootnoteText"/>
      </w:pPr>
      <w:r>
        <w:rPr>
          <w:rStyle w:val="FootnoteReference"/>
        </w:rPr>
        <w:footnoteRef/>
      </w:r>
      <w:r>
        <w:t xml:space="preserve"> </w:t>
      </w:r>
      <w:proofErr w:type="spellStart"/>
      <w:r w:rsidRPr="006F30DB">
        <w:rPr>
          <w:rStyle w:val="Hyperlink"/>
          <w:color w:val="auto"/>
          <w:u w:val="none"/>
        </w:rPr>
        <w:t>Syniuk</w:t>
      </w:r>
      <w:proofErr w:type="spellEnd"/>
      <w:r w:rsidRPr="006F30DB">
        <w:rPr>
          <w:rStyle w:val="Hyperlink"/>
          <w:color w:val="auto"/>
          <w:u w:val="none"/>
        </w:rPr>
        <w:t xml:space="preserve"> &amp; </w:t>
      </w:r>
      <w:proofErr w:type="spellStart"/>
      <w:r w:rsidRPr="006F30DB">
        <w:rPr>
          <w:rStyle w:val="Hyperlink"/>
          <w:color w:val="auto"/>
          <w:u w:val="none"/>
        </w:rPr>
        <w:t>Lunova</w:t>
      </w:r>
      <w:proofErr w:type="spellEnd"/>
      <w:r w:rsidRPr="006F30DB">
        <w:rPr>
          <w:rStyle w:val="Hyperlink"/>
          <w:color w:val="auto"/>
          <w:u w:val="none"/>
        </w:rPr>
        <w:t xml:space="preserve"> 2023</w:t>
      </w:r>
      <w:r w:rsidRPr="006F30DB">
        <w:t>, s. 9.</w:t>
      </w:r>
    </w:p>
  </w:footnote>
  <w:footnote w:id="78">
    <w:p w14:paraId="6A59124D" w14:textId="77777777" w:rsidR="009B274B" w:rsidRDefault="009B274B" w:rsidP="00481907">
      <w:pPr>
        <w:pStyle w:val="FootnoteText"/>
      </w:pPr>
      <w:r>
        <w:rPr>
          <w:rStyle w:val="FootnoteReference"/>
        </w:rPr>
        <w:footnoteRef/>
      </w:r>
      <w:r>
        <w:t xml:space="preserve"> </w:t>
      </w:r>
      <w:proofErr w:type="spellStart"/>
      <w:r w:rsidRPr="006F30DB">
        <w:rPr>
          <w:rStyle w:val="Hyperlink"/>
          <w:color w:val="auto"/>
          <w:u w:val="none"/>
        </w:rPr>
        <w:t>Syniuk</w:t>
      </w:r>
      <w:proofErr w:type="spellEnd"/>
      <w:r w:rsidRPr="006F30DB">
        <w:rPr>
          <w:rStyle w:val="Hyperlink"/>
          <w:color w:val="auto"/>
          <w:u w:val="none"/>
        </w:rPr>
        <w:t xml:space="preserve"> &amp; </w:t>
      </w:r>
      <w:proofErr w:type="spellStart"/>
      <w:r w:rsidRPr="006F30DB">
        <w:rPr>
          <w:rStyle w:val="Hyperlink"/>
          <w:color w:val="auto"/>
          <w:u w:val="none"/>
        </w:rPr>
        <w:t>Lunova</w:t>
      </w:r>
      <w:proofErr w:type="spellEnd"/>
      <w:r w:rsidRPr="006F30DB">
        <w:rPr>
          <w:rStyle w:val="Hyperlink"/>
          <w:color w:val="auto"/>
          <w:u w:val="none"/>
        </w:rPr>
        <w:t xml:space="preserve"> 2023</w:t>
      </w:r>
      <w:r w:rsidRPr="006F30DB">
        <w:t>, s. 37.</w:t>
      </w:r>
    </w:p>
  </w:footnote>
  <w:footnote w:id="79">
    <w:p w14:paraId="765F8155" w14:textId="77777777" w:rsidR="009B274B" w:rsidRPr="004A3777" w:rsidRDefault="009B274B" w:rsidP="004339B6">
      <w:pPr>
        <w:pStyle w:val="FootnoteText"/>
      </w:pPr>
      <w:r>
        <w:rPr>
          <w:rStyle w:val="FootnoteReference"/>
        </w:rPr>
        <w:footnoteRef/>
      </w:r>
      <w:r w:rsidRPr="004A3777">
        <w:t xml:space="preserve"> KHPG 6.2. 2025. </w:t>
      </w:r>
    </w:p>
  </w:footnote>
  <w:footnote w:id="80">
    <w:p w14:paraId="17765204" w14:textId="5C10064A" w:rsidR="009B274B" w:rsidRPr="004A3777" w:rsidRDefault="009B274B">
      <w:pPr>
        <w:pStyle w:val="FootnoteText"/>
      </w:pPr>
      <w:r>
        <w:rPr>
          <w:rStyle w:val="FootnoteReference"/>
        </w:rPr>
        <w:footnoteRef/>
      </w:r>
      <w:r w:rsidRPr="004A3777">
        <w:t xml:space="preserve"> </w:t>
      </w:r>
      <w:proofErr w:type="spellStart"/>
      <w:r w:rsidRPr="004A3777">
        <w:t>Syniuk</w:t>
      </w:r>
      <w:proofErr w:type="spellEnd"/>
      <w:r w:rsidRPr="004A3777">
        <w:t xml:space="preserve"> et al. 2024, s. </w:t>
      </w:r>
      <w:r w:rsidR="001F7124">
        <w:t xml:space="preserve">18, </w:t>
      </w:r>
      <w:r w:rsidRPr="004A3777">
        <w:t>26.</w:t>
      </w:r>
    </w:p>
  </w:footnote>
  <w:footnote w:id="81">
    <w:p w14:paraId="79B4529A" w14:textId="4869BDCB" w:rsidR="009B274B" w:rsidRPr="00993E9A" w:rsidRDefault="009B274B">
      <w:pPr>
        <w:pStyle w:val="FootnoteText"/>
        <w:rPr>
          <w:lang w:val="en-US"/>
        </w:rPr>
      </w:pPr>
      <w:r>
        <w:rPr>
          <w:rStyle w:val="FootnoteReference"/>
        </w:rPr>
        <w:footnoteRef/>
      </w:r>
      <w:r w:rsidR="004A09AE">
        <w:t xml:space="preserve"> </w:t>
      </w:r>
      <w:proofErr w:type="spellStart"/>
      <w:r w:rsidRPr="004A3777">
        <w:t>Syniuk</w:t>
      </w:r>
      <w:proofErr w:type="spellEnd"/>
      <w:r w:rsidRPr="004A3777">
        <w:t xml:space="preserve"> et al. 2024, s. 18.</w:t>
      </w:r>
      <w:r w:rsidR="001A58FC">
        <w:t xml:space="preserve"> In </w:t>
      </w:r>
      <w:proofErr w:type="spellStart"/>
      <w:r w:rsidR="001A58FC">
        <w:t>absentia</w:t>
      </w:r>
      <w:proofErr w:type="spellEnd"/>
      <w:r w:rsidR="001A58FC">
        <w:t xml:space="preserve"> -menettelyllä viitataan </w:t>
      </w:r>
      <w:r w:rsidR="001A58FC" w:rsidRPr="00D146E2">
        <w:t>esitutkinnassa ja oikeudenkäynnissä noudatettava</w:t>
      </w:r>
      <w:r w:rsidR="001A58FC">
        <w:t>an</w:t>
      </w:r>
      <w:r w:rsidR="001A58FC" w:rsidRPr="00D146E2">
        <w:t xml:space="preserve"> erityismenettely</w:t>
      </w:r>
      <w:r w:rsidR="001A58FC">
        <w:t>yn</w:t>
      </w:r>
      <w:r w:rsidR="001A58FC" w:rsidRPr="00D146E2">
        <w:t xml:space="preserve">, joka toteutetaan </w:t>
      </w:r>
      <w:r w:rsidR="001A58FC">
        <w:t xml:space="preserve">ilman </w:t>
      </w:r>
      <w:r w:rsidR="001A58FC" w:rsidRPr="00D146E2">
        <w:t xml:space="preserve">epäillyn tai syytetyn </w:t>
      </w:r>
      <w:r w:rsidR="001A58FC">
        <w:t xml:space="preserve">läsnäoloa.  </w:t>
      </w:r>
      <w:r w:rsidR="001A58FC" w:rsidRPr="00993E9A">
        <w:rPr>
          <w:lang w:val="en-US"/>
        </w:rPr>
        <w:t>(</w:t>
      </w:r>
      <w:proofErr w:type="spellStart"/>
      <w:r w:rsidR="001A58FC" w:rsidRPr="00993E9A">
        <w:rPr>
          <w:lang w:val="en-US"/>
        </w:rPr>
        <w:t>Syniuk</w:t>
      </w:r>
      <w:proofErr w:type="spellEnd"/>
      <w:r w:rsidR="001A58FC" w:rsidRPr="00993E9A">
        <w:rPr>
          <w:lang w:val="en-US"/>
        </w:rPr>
        <w:t xml:space="preserve"> et al. 2024, s. 18.)</w:t>
      </w:r>
    </w:p>
  </w:footnote>
  <w:footnote w:id="82">
    <w:p w14:paraId="6955AD6E" w14:textId="145F60A7" w:rsidR="009B274B" w:rsidRPr="00993E9A" w:rsidRDefault="009B274B" w:rsidP="00F6085E">
      <w:pPr>
        <w:pStyle w:val="FootnoteText"/>
        <w:rPr>
          <w:lang w:val="en-US"/>
        </w:rPr>
      </w:pPr>
      <w:r>
        <w:rPr>
          <w:rStyle w:val="FootnoteReference"/>
        </w:rPr>
        <w:footnoteRef/>
      </w:r>
      <w:r w:rsidRPr="00993E9A">
        <w:rPr>
          <w:lang w:val="en-US"/>
        </w:rPr>
        <w:t xml:space="preserve"> KHPG 6.2. 2025. </w:t>
      </w:r>
    </w:p>
  </w:footnote>
  <w:footnote w:id="83">
    <w:p w14:paraId="68724D51" w14:textId="77777777" w:rsidR="009B274B" w:rsidRPr="00993E9A" w:rsidRDefault="009B274B" w:rsidP="00115E82">
      <w:pPr>
        <w:pStyle w:val="FootnoteText"/>
        <w:rPr>
          <w:lang w:val="en-US"/>
        </w:rPr>
      </w:pPr>
      <w:r>
        <w:rPr>
          <w:rStyle w:val="FootnoteReference"/>
        </w:rPr>
        <w:footnoteRef/>
      </w:r>
      <w:r w:rsidRPr="00993E9A">
        <w:rPr>
          <w:lang w:val="en-US"/>
        </w:rPr>
        <w:t xml:space="preserve"> HRW 5.12.2024.</w:t>
      </w:r>
    </w:p>
  </w:footnote>
  <w:footnote w:id="84">
    <w:p w14:paraId="3D405AF2" w14:textId="77777777" w:rsidR="009B274B" w:rsidRPr="00993E9A" w:rsidRDefault="009B274B" w:rsidP="001D12C8">
      <w:pPr>
        <w:pStyle w:val="FootnoteText"/>
        <w:rPr>
          <w:lang w:val="en-US"/>
        </w:rPr>
      </w:pPr>
      <w:r>
        <w:rPr>
          <w:rStyle w:val="FootnoteReference"/>
        </w:rPr>
        <w:footnoteRef/>
      </w:r>
      <w:r w:rsidRPr="00993E9A">
        <w:rPr>
          <w:lang w:val="en-US"/>
        </w:rPr>
        <w:t xml:space="preserve"> HRW 5.12.2024. </w:t>
      </w:r>
    </w:p>
  </w:footnote>
  <w:footnote w:id="85">
    <w:p w14:paraId="71E15425" w14:textId="4ECA2221" w:rsidR="009B274B" w:rsidRPr="003C0614" w:rsidRDefault="009B274B" w:rsidP="00AD5D13">
      <w:pPr>
        <w:pStyle w:val="FootnoteText"/>
        <w:rPr>
          <w:lang w:val="en-US"/>
        </w:rPr>
      </w:pPr>
      <w:r>
        <w:rPr>
          <w:rStyle w:val="FootnoteReference"/>
        </w:rPr>
        <w:footnoteRef/>
      </w:r>
      <w:r w:rsidRPr="006B2337">
        <w:rPr>
          <w:lang w:val="en-US"/>
        </w:rPr>
        <w:t xml:space="preserve"> </w:t>
      </w:r>
      <w:r w:rsidR="006629A6">
        <w:rPr>
          <w:lang w:val="en-US"/>
        </w:rPr>
        <w:t xml:space="preserve">The Danish Immigration Service </w:t>
      </w:r>
      <w:r>
        <w:rPr>
          <w:lang w:val="en-US"/>
        </w:rPr>
        <w:t xml:space="preserve">4 / 2024, </w:t>
      </w:r>
      <w:r w:rsidRPr="006B2337">
        <w:rPr>
          <w:lang w:val="en-US"/>
        </w:rPr>
        <w:t>s.</w:t>
      </w:r>
      <w:r>
        <w:rPr>
          <w:lang w:val="en-US"/>
        </w:rPr>
        <w:t xml:space="preserve"> </w:t>
      </w:r>
      <w:r w:rsidRPr="006B2337">
        <w:rPr>
          <w:lang w:val="en-US"/>
        </w:rPr>
        <w:t>50</w:t>
      </w:r>
      <w:r w:rsidRPr="003C0614">
        <w:rPr>
          <w:lang w:val="en-US"/>
        </w:rPr>
        <w:t>.</w:t>
      </w:r>
    </w:p>
  </w:footnote>
  <w:footnote w:id="86">
    <w:p w14:paraId="6C65FFD5" w14:textId="77777777" w:rsidR="009B274B" w:rsidRPr="008D40C6" w:rsidRDefault="009B274B" w:rsidP="00AD5D13">
      <w:pPr>
        <w:pStyle w:val="FootnoteText"/>
        <w:rPr>
          <w:lang w:val="en-US"/>
        </w:rPr>
      </w:pPr>
      <w:r>
        <w:rPr>
          <w:rStyle w:val="FootnoteReference"/>
        </w:rPr>
        <w:footnoteRef/>
      </w:r>
      <w:r w:rsidRPr="008D40C6">
        <w:rPr>
          <w:lang w:val="en-US"/>
        </w:rPr>
        <w:t xml:space="preserve"> HRW 5.12.2024.</w:t>
      </w:r>
    </w:p>
  </w:footnote>
  <w:footnote w:id="87">
    <w:p w14:paraId="37A36F4E" w14:textId="77777777" w:rsidR="009B274B" w:rsidRPr="00535A63" w:rsidRDefault="009B274B" w:rsidP="003B362D">
      <w:pPr>
        <w:pStyle w:val="FootnoteText"/>
        <w:rPr>
          <w:lang w:val="en-US"/>
        </w:rPr>
      </w:pPr>
      <w:r>
        <w:rPr>
          <w:rStyle w:val="FootnoteReference"/>
        </w:rPr>
        <w:footnoteRef/>
      </w:r>
      <w:r w:rsidRPr="00535A63">
        <w:rPr>
          <w:lang w:val="en-US"/>
        </w:rPr>
        <w:t xml:space="preserve"> HRW 5.12.2024.</w:t>
      </w:r>
    </w:p>
  </w:footnote>
  <w:footnote w:id="88">
    <w:p w14:paraId="0212388D" w14:textId="77777777" w:rsidR="009B274B" w:rsidRPr="00535A63" w:rsidRDefault="009B274B" w:rsidP="00137A5B">
      <w:pPr>
        <w:pStyle w:val="FootnoteText"/>
        <w:rPr>
          <w:lang w:val="en-US"/>
        </w:rPr>
      </w:pPr>
      <w:r>
        <w:rPr>
          <w:rStyle w:val="FootnoteReference"/>
        </w:rPr>
        <w:footnoteRef/>
      </w:r>
      <w:r w:rsidRPr="00535A63">
        <w:rPr>
          <w:lang w:val="en-US"/>
        </w:rPr>
        <w:t xml:space="preserve"> HRW 5.12.2024.</w:t>
      </w:r>
    </w:p>
  </w:footnote>
  <w:footnote w:id="89">
    <w:p w14:paraId="619BCDCD" w14:textId="669B0F23" w:rsidR="009B274B" w:rsidRPr="00993E9A" w:rsidRDefault="009B274B" w:rsidP="00137A5B">
      <w:pPr>
        <w:pStyle w:val="FootnoteText"/>
        <w:rPr>
          <w:lang w:val="en-US"/>
        </w:rPr>
      </w:pPr>
      <w:r>
        <w:rPr>
          <w:rStyle w:val="FootnoteReference"/>
        </w:rPr>
        <w:footnoteRef/>
      </w:r>
      <w:r w:rsidRPr="00993E9A">
        <w:rPr>
          <w:lang w:val="en-US"/>
        </w:rPr>
        <w:t xml:space="preserve"> HRW 5.12.2024, </w:t>
      </w:r>
      <w:proofErr w:type="spellStart"/>
      <w:r w:rsidRPr="00993E9A">
        <w:rPr>
          <w:lang w:val="en-US"/>
        </w:rPr>
        <w:t>Syniuk</w:t>
      </w:r>
      <w:proofErr w:type="spellEnd"/>
      <w:r w:rsidRPr="00993E9A">
        <w:rPr>
          <w:lang w:val="en-US"/>
        </w:rPr>
        <w:t xml:space="preserve"> et al. 2024, s. 18–19.</w:t>
      </w:r>
    </w:p>
  </w:footnote>
  <w:footnote w:id="90">
    <w:p w14:paraId="13F1D7A2" w14:textId="77777777" w:rsidR="009B274B" w:rsidRPr="00137A5B" w:rsidRDefault="009B274B" w:rsidP="003B362D">
      <w:pPr>
        <w:pStyle w:val="FootnoteText"/>
      </w:pPr>
      <w:r>
        <w:rPr>
          <w:rStyle w:val="FootnoteReference"/>
        </w:rPr>
        <w:footnoteRef/>
      </w:r>
      <w:r w:rsidRPr="00137A5B">
        <w:t xml:space="preserve"> HRW 5.12.2024. </w:t>
      </w:r>
    </w:p>
  </w:footnote>
  <w:footnote w:id="91">
    <w:p w14:paraId="3FEA2297" w14:textId="230F4FE3" w:rsidR="009B274B" w:rsidRPr="00137A5B" w:rsidRDefault="009B274B" w:rsidP="003B362D">
      <w:pPr>
        <w:pStyle w:val="FootnoteText"/>
      </w:pPr>
      <w:r>
        <w:rPr>
          <w:rStyle w:val="FootnoteReference"/>
        </w:rPr>
        <w:footnoteRef/>
      </w:r>
      <w:r w:rsidRPr="00137A5B">
        <w:t xml:space="preserve"> </w:t>
      </w:r>
      <w:proofErr w:type="spellStart"/>
      <w:r w:rsidRPr="00137A5B">
        <w:t>Syniuk</w:t>
      </w:r>
      <w:proofErr w:type="spellEnd"/>
      <w:r w:rsidRPr="00137A5B">
        <w:t xml:space="preserve"> et al. 2024, s. 18.</w:t>
      </w:r>
      <w:r>
        <w:t xml:space="preserve"> </w:t>
      </w:r>
    </w:p>
  </w:footnote>
  <w:footnote w:id="92">
    <w:p w14:paraId="60E4EA32" w14:textId="77777777" w:rsidR="009B274B" w:rsidRPr="00B02FF7" w:rsidRDefault="009B274B" w:rsidP="004B6D8F">
      <w:pPr>
        <w:pStyle w:val="FootnoteText"/>
        <w:rPr>
          <w:lang w:val="en-US"/>
        </w:rPr>
      </w:pPr>
      <w:r>
        <w:rPr>
          <w:rStyle w:val="FootnoteReference"/>
        </w:rPr>
        <w:footnoteRef/>
      </w:r>
      <w:r w:rsidRPr="00B02FF7">
        <w:rPr>
          <w:lang w:val="en-US"/>
        </w:rPr>
        <w:t xml:space="preserve"> HRW 5.12.2024.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600" w:firstRow="0" w:lastRow="0" w:firstColumn="0" w:lastColumn="0" w:noHBand="1" w:noVBand="1"/>
    </w:tblPr>
    <w:tblGrid>
      <w:gridCol w:w="3005"/>
      <w:gridCol w:w="3005"/>
      <w:gridCol w:w="3006"/>
    </w:tblGrid>
    <w:tr w:rsidR="009B274B" w:rsidRPr="00A058E4" w14:paraId="75B1C4CB" w14:textId="77777777" w:rsidTr="00110B17">
      <w:trPr>
        <w:tblHeader/>
      </w:trPr>
      <w:tc>
        <w:tcPr>
          <w:tcW w:w="3005" w:type="dxa"/>
          <w:tcBorders>
            <w:top w:val="nil"/>
            <w:left w:val="nil"/>
            <w:bottom w:val="nil"/>
            <w:right w:val="nil"/>
          </w:tcBorders>
        </w:tcPr>
        <w:p w14:paraId="15D6EABF" w14:textId="77777777" w:rsidR="009B274B" w:rsidRPr="00A058E4" w:rsidRDefault="009B274B">
          <w:pPr>
            <w:pStyle w:val="Header"/>
            <w:rPr>
              <w:sz w:val="16"/>
              <w:szCs w:val="16"/>
            </w:rPr>
          </w:pPr>
        </w:p>
      </w:tc>
      <w:tc>
        <w:tcPr>
          <w:tcW w:w="3005" w:type="dxa"/>
          <w:tcBorders>
            <w:top w:val="nil"/>
            <w:left w:val="nil"/>
            <w:bottom w:val="nil"/>
            <w:right w:val="nil"/>
          </w:tcBorders>
        </w:tcPr>
        <w:p w14:paraId="70F84E6A" w14:textId="77777777" w:rsidR="009B274B" w:rsidRPr="00A058E4" w:rsidRDefault="009B274B">
          <w:pPr>
            <w:pStyle w:val="Header"/>
            <w:rPr>
              <w:b/>
              <w:sz w:val="16"/>
              <w:szCs w:val="16"/>
            </w:rPr>
          </w:pPr>
        </w:p>
      </w:tc>
      <w:tc>
        <w:tcPr>
          <w:tcW w:w="3006" w:type="dxa"/>
          <w:tcBorders>
            <w:top w:val="nil"/>
            <w:left w:val="nil"/>
            <w:bottom w:val="nil"/>
            <w:right w:val="nil"/>
          </w:tcBorders>
        </w:tcPr>
        <w:p w14:paraId="00E53F15" w14:textId="77777777" w:rsidR="009B274B" w:rsidRPr="001D63F6" w:rsidRDefault="009B274B" w:rsidP="00A058E4">
          <w:pPr>
            <w:pStyle w:val="Header"/>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9B274B" w:rsidRPr="00A058E4" w14:paraId="293B07B5" w14:textId="77777777" w:rsidTr="00421708">
      <w:tc>
        <w:tcPr>
          <w:tcW w:w="3005" w:type="dxa"/>
          <w:tcBorders>
            <w:top w:val="nil"/>
            <w:left w:val="nil"/>
            <w:bottom w:val="nil"/>
            <w:right w:val="nil"/>
          </w:tcBorders>
        </w:tcPr>
        <w:p w14:paraId="3FD79A7B" w14:textId="77777777" w:rsidR="009B274B" w:rsidRPr="00A058E4" w:rsidRDefault="009B274B">
          <w:pPr>
            <w:pStyle w:val="Header"/>
            <w:rPr>
              <w:sz w:val="16"/>
              <w:szCs w:val="16"/>
            </w:rPr>
          </w:pPr>
        </w:p>
      </w:tc>
      <w:tc>
        <w:tcPr>
          <w:tcW w:w="3005" w:type="dxa"/>
          <w:tcBorders>
            <w:top w:val="nil"/>
            <w:left w:val="nil"/>
            <w:bottom w:val="nil"/>
            <w:right w:val="nil"/>
          </w:tcBorders>
        </w:tcPr>
        <w:p w14:paraId="4D4E33EE" w14:textId="77777777" w:rsidR="009B274B" w:rsidRPr="00A058E4" w:rsidRDefault="009B274B">
          <w:pPr>
            <w:pStyle w:val="Header"/>
            <w:rPr>
              <w:sz w:val="16"/>
              <w:szCs w:val="16"/>
            </w:rPr>
          </w:pPr>
        </w:p>
      </w:tc>
      <w:tc>
        <w:tcPr>
          <w:tcW w:w="3006" w:type="dxa"/>
          <w:tcBorders>
            <w:top w:val="nil"/>
            <w:left w:val="nil"/>
            <w:bottom w:val="nil"/>
            <w:right w:val="nil"/>
          </w:tcBorders>
        </w:tcPr>
        <w:p w14:paraId="4C2B03BB" w14:textId="77777777" w:rsidR="009B274B" w:rsidRPr="00A058E4" w:rsidRDefault="009B274B" w:rsidP="00A058E4">
          <w:pPr>
            <w:pStyle w:val="Header"/>
            <w:jc w:val="right"/>
            <w:rPr>
              <w:sz w:val="16"/>
              <w:szCs w:val="16"/>
            </w:rPr>
          </w:pPr>
        </w:p>
      </w:tc>
    </w:tr>
    <w:tr w:rsidR="009B274B" w:rsidRPr="00A058E4" w14:paraId="287F91BE" w14:textId="77777777" w:rsidTr="00421708">
      <w:tc>
        <w:tcPr>
          <w:tcW w:w="3005" w:type="dxa"/>
          <w:tcBorders>
            <w:top w:val="nil"/>
            <w:left w:val="nil"/>
            <w:bottom w:val="nil"/>
            <w:right w:val="nil"/>
          </w:tcBorders>
        </w:tcPr>
        <w:p w14:paraId="58A37E5F" w14:textId="77777777" w:rsidR="009B274B" w:rsidRPr="00A058E4" w:rsidRDefault="009B274B">
          <w:pPr>
            <w:pStyle w:val="Header"/>
            <w:rPr>
              <w:sz w:val="16"/>
              <w:szCs w:val="16"/>
            </w:rPr>
          </w:pPr>
        </w:p>
      </w:tc>
      <w:tc>
        <w:tcPr>
          <w:tcW w:w="3005" w:type="dxa"/>
          <w:tcBorders>
            <w:top w:val="nil"/>
            <w:left w:val="nil"/>
            <w:bottom w:val="nil"/>
            <w:right w:val="nil"/>
          </w:tcBorders>
        </w:tcPr>
        <w:p w14:paraId="1333F7A1" w14:textId="77777777" w:rsidR="009B274B" w:rsidRPr="00A058E4" w:rsidRDefault="009B274B">
          <w:pPr>
            <w:pStyle w:val="Header"/>
            <w:rPr>
              <w:sz w:val="16"/>
              <w:szCs w:val="16"/>
            </w:rPr>
          </w:pPr>
        </w:p>
      </w:tc>
      <w:tc>
        <w:tcPr>
          <w:tcW w:w="3006" w:type="dxa"/>
          <w:tcBorders>
            <w:top w:val="nil"/>
            <w:left w:val="nil"/>
            <w:bottom w:val="nil"/>
            <w:right w:val="nil"/>
          </w:tcBorders>
        </w:tcPr>
        <w:p w14:paraId="4BAF8B4B" w14:textId="77777777" w:rsidR="009B274B" w:rsidRPr="00A058E4" w:rsidRDefault="009B274B" w:rsidP="00A058E4">
          <w:pPr>
            <w:pStyle w:val="Header"/>
            <w:jc w:val="right"/>
            <w:rPr>
              <w:sz w:val="16"/>
              <w:szCs w:val="16"/>
            </w:rPr>
          </w:pPr>
        </w:p>
      </w:tc>
    </w:tr>
  </w:tbl>
  <w:p w14:paraId="4106E32A" w14:textId="77777777" w:rsidR="009B274B" w:rsidRDefault="009B274B">
    <w:pPr>
      <w:pStyle w:val="Header"/>
    </w:pPr>
    <w:r>
      <w:rPr>
        <w:noProof/>
        <w:sz w:val="16"/>
        <w:szCs w:val="16"/>
        <w:lang w:eastAsia="fi-FI"/>
      </w:rPr>
      <w:drawing>
        <wp:anchor distT="0" distB="0" distL="114300" distR="114300" simplePos="0" relativeHeight="251680768" behindDoc="0" locked="0" layoutInCell="1" allowOverlap="1" wp14:anchorId="29A59544" wp14:editId="505C2CBE">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05"/>
      <w:gridCol w:w="3005"/>
      <w:gridCol w:w="3006"/>
    </w:tblGrid>
    <w:tr w:rsidR="009B274B" w:rsidRPr="00A058E4" w14:paraId="68F5076F" w14:textId="77777777" w:rsidTr="004B2B44">
      <w:tc>
        <w:tcPr>
          <w:tcW w:w="3005" w:type="dxa"/>
          <w:tcBorders>
            <w:top w:val="nil"/>
            <w:left w:val="nil"/>
            <w:bottom w:val="nil"/>
            <w:right w:val="nil"/>
          </w:tcBorders>
        </w:tcPr>
        <w:p w14:paraId="4AC42E45" w14:textId="77777777" w:rsidR="009B274B" w:rsidRPr="00A058E4" w:rsidRDefault="009B274B">
          <w:pPr>
            <w:pStyle w:val="Header"/>
            <w:rPr>
              <w:sz w:val="16"/>
              <w:szCs w:val="16"/>
            </w:rPr>
          </w:pPr>
        </w:p>
      </w:tc>
      <w:tc>
        <w:tcPr>
          <w:tcW w:w="3005" w:type="dxa"/>
          <w:tcBorders>
            <w:top w:val="nil"/>
            <w:left w:val="nil"/>
            <w:bottom w:val="nil"/>
            <w:right w:val="nil"/>
          </w:tcBorders>
        </w:tcPr>
        <w:p w14:paraId="632FE541" w14:textId="77777777" w:rsidR="009B274B" w:rsidRPr="00A058E4" w:rsidRDefault="009B274B">
          <w:pPr>
            <w:pStyle w:val="Header"/>
            <w:rPr>
              <w:b/>
              <w:sz w:val="16"/>
              <w:szCs w:val="16"/>
            </w:rPr>
          </w:pPr>
        </w:p>
      </w:tc>
      <w:tc>
        <w:tcPr>
          <w:tcW w:w="3006" w:type="dxa"/>
          <w:tcBorders>
            <w:top w:val="nil"/>
            <w:left w:val="nil"/>
            <w:bottom w:val="nil"/>
            <w:right w:val="nil"/>
          </w:tcBorders>
        </w:tcPr>
        <w:p w14:paraId="3F7AE6CC" w14:textId="77777777" w:rsidR="009B274B" w:rsidRPr="00A058E4" w:rsidRDefault="009B274B" w:rsidP="00A058E4">
          <w:pPr>
            <w:pStyle w:val="Header"/>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9B274B" w:rsidRPr="00A058E4" w14:paraId="09DC9182" w14:textId="77777777" w:rsidTr="004B2B44">
      <w:tc>
        <w:tcPr>
          <w:tcW w:w="3005" w:type="dxa"/>
          <w:tcBorders>
            <w:top w:val="nil"/>
            <w:left w:val="nil"/>
            <w:bottom w:val="nil"/>
            <w:right w:val="nil"/>
          </w:tcBorders>
        </w:tcPr>
        <w:p w14:paraId="1B2B19AC" w14:textId="77777777" w:rsidR="009B274B" w:rsidRPr="00A058E4" w:rsidRDefault="009B274B">
          <w:pPr>
            <w:pStyle w:val="Header"/>
            <w:rPr>
              <w:sz w:val="16"/>
              <w:szCs w:val="16"/>
            </w:rPr>
          </w:pPr>
        </w:p>
      </w:tc>
      <w:tc>
        <w:tcPr>
          <w:tcW w:w="3005" w:type="dxa"/>
          <w:tcBorders>
            <w:top w:val="nil"/>
            <w:left w:val="nil"/>
            <w:bottom w:val="nil"/>
            <w:right w:val="nil"/>
          </w:tcBorders>
        </w:tcPr>
        <w:p w14:paraId="5F84A7FC" w14:textId="77777777" w:rsidR="009B274B" w:rsidRPr="00A058E4" w:rsidRDefault="009B274B">
          <w:pPr>
            <w:pStyle w:val="Header"/>
            <w:rPr>
              <w:sz w:val="16"/>
              <w:szCs w:val="16"/>
            </w:rPr>
          </w:pPr>
        </w:p>
      </w:tc>
      <w:tc>
        <w:tcPr>
          <w:tcW w:w="3006" w:type="dxa"/>
          <w:tcBorders>
            <w:top w:val="nil"/>
            <w:left w:val="nil"/>
            <w:bottom w:val="nil"/>
            <w:right w:val="nil"/>
          </w:tcBorders>
        </w:tcPr>
        <w:p w14:paraId="7F2D59D7" w14:textId="77777777" w:rsidR="009B274B" w:rsidRPr="00A058E4" w:rsidRDefault="009B274B" w:rsidP="00A058E4">
          <w:pPr>
            <w:pStyle w:val="Header"/>
            <w:jc w:val="right"/>
            <w:rPr>
              <w:sz w:val="16"/>
              <w:szCs w:val="16"/>
            </w:rPr>
          </w:pPr>
        </w:p>
      </w:tc>
    </w:tr>
    <w:tr w:rsidR="009B274B" w:rsidRPr="00A058E4" w14:paraId="1A1FA1CE" w14:textId="77777777" w:rsidTr="004B2B44">
      <w:tc>
        <w:tcPr>
          <w:tcW w:w="3005" w:type="dxa"/>
          <w:tcBorders>
            <w:top w:val="nil"/>
            <w:left w:val="nil"/>
            <w:bottom w:val="nil"/>
            <w:right w:val="nil"/>
          </w:tcBorders>
        </w:tcPr>
        <w:p w14:paraId="6DC6DA34" w14:textId="77777777" w:rsidR="009B274B" w:rsidRPr="00A058E4" w:rsidRDefault="009B274B">
          <w:pPr>
            <w:pStyle w:val="Header"/>
            <w:rPr>
              <w:sz w:val="16"/>
              <w:szCs w:val="16"/>
            </w:rPr>
          </w:pPr>
        </w:p>
      </w:tc>
      <w:tc>
        <w:tcPr>
          <w:tcW w:w="3005" w:type="dxa"/>
          <w:tcBorders>
            <w:top w:val="nil"/>
            <w:left w:val="nil"/>
            <w:bottom w:val="nil"/>
            <w:right w:val="nil"/>
          </w:tcBorders>
        </w:tcPr>
        <w:p w14:paraId="00ADDCA7" w14:textId="77777777" w:rsidR="009B274B" w:rsidRPr="00A058E4" w:rsidRDefault="009B274B">
          <w:pPr>
            <w:pStyle w:val="Header"/>
            <w:rPr>
              <w:sz w:val="16"/>
              <w:szCs w:val="16"/>
            </w:rPr>
          </w:pPr>
        </w:p>
      </w:tc>
      <w:tc>
        <w:tcPr>
          <w:tcW w:w="3006" w:type="dxa"/>
          <w:tcBorders>
            <w:top w:val="nil"/>
            <w:left w:val="nil"/>
            <w:bottom w:val="nil"/>
            <w:right w:val="nil"/>
          </w:tcBorders>
        </w:tcPr>
        <w:p w14:paraId="28F6AB8A" w14:textId="77777777" w:rsidR="009B274B" w:rsidRPr="00A058E4" w:rsidRDefault="009B274B" w:rsidP="00A058E4">
          <w:pPr>
            <w:pStyle w:val="Header"/>
            <w:jc w:val="right"/>
            <w:rPr>
              <w:sz w:val="16"/>
              <w:szCs w:val="16"/>
            </w:rPr>
          </w:pPr>
        </w:p>
      </w:tc>
    </w:tr>
  </w:tbl>
  <w:p w14:paraId="4A8F248E" w14:textId="77777777" w:rsidR="009B274B" w:rsidRPr="008020E6" w:rsidRDefault="009B274B" w:rsidP="00873A37">
    <w:pPr>
      <w:pStyle w:val="Header"/>
      <w:rPr>
        <w:sz w:val="16"/>
        <w:szCs w:val="16"/>
      </w:rPr>
    </w:pPr>
    <w:r>
      <w:rPr>
        <w:noProof/>
        <w:sz w:val="16"/>
        <w:szCs w:val="16"/>
        <w:lang w:eastAsia="fi-FI"/>
      </w:rPr>
      <w:drawing>
        <wp:anchor distT="0" distB="0" distL="114300" distR="114300" simplePos="0" relativeHeight="251682816" behindDoc="0" locked="0" layoutInCell="1" allowOverlap="1" wp14:anchorId="7B2D4318" wp14:editId="1273FA44">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18657BF"/>
    <w:multiLevelType w:val="multilevel"/>
    <w:tmpl w:val="1AB8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60596A"/>
    <w:multiLevelType w:val="hybridMultilevel"/>
    <w:tmpl w:val="6C64D7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FDB1945"/>
    <w:multiLevelType w:val="multilevel"/>
    <w:tmpl w:val="235C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C1000F5"/>
    <w:multiLevelType w:val="multilevel"/>
    <w:tmpl w:val="E694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2"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9BE74B0"/>
    <w:multiLevelType w:val="hybridMultilevel"/>
    <w:tmpl w:val="40A681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6" w15:restartNumberingAfterBreak="0">
    <w:nsid w:val="73E32330"/>
    <w:multiLevelType w:val="multilevel"/>
    <w:tmpl w:val="5F4C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C272BED"/>
    <w:multiLevelType w:val="multilevel"/>
    <w:tmpl w:val="EF286224"/>
    <w:numStyleLink w:val="Style1"/>
  </w:abstractNum>
  <w:abstractNum w:abstractNumId="30"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0"/>
  </w:num>
  <w:num w:numId="2">
    <w:abstractNumId w:val="25"/>
  </w:num>
  <w:num w:numId="3">
    <w:abstractNumId w:val="16"/>
  </w:num>
  <w:num w:numId="4">
    <w:abstractNumId w:val="14"/>
  </w:num>
  <w:num w:numId="5">
    <w:abstractNumId w:val="10"/>
  </w:num>
  <w:num w:numId="6">
    <w:abstractNumId w:val="19"/>
  </w:num>
  <w:num w:numId="7">
    <w:abstractNumId w:val="23"/>
  </w:num>
  <w:num w:numId="8">
    <w:abstractNumId w:val="22"/>
  </w:num>
  <w:num w:numId="9">
    <w:abstractNumId w:val="22"/>
    <w:lvlOverride w:ilvl="0">
      <w:startOverride w:val="1"/>
    </w:lvlOverride>
  </w:num>
  <w:num w:numId="10">
    <w:abstractNumId w:val="12"/>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9"/>
  </w:num>
  <w:num w:numId="15">
    <w:abstractNumId w:val="2"/>
  </w:num>
  <w:num w:numId="16">
    <w:abstractNumId w:val="2"/>
  </w:num>
  <w:num w:numId="17">
    <w:abstractNumId w:val="1"/>
  </w:num>
  <w:num w:numId="18">
    <w:abstractNumId w:val="21"/>
  </w:num>
  <w:num w:numId="19">
    <w:abstractNumId w:val="20"/>
  </w:num>
  <w:num w:numId="20">
    <w:abstractNumId w:val="29"/>
  </w:num>
  <w:num w:numId="21">
    <w:abstractNumId w:val="6"/>
  </w:num>
  <w:num w:numId="22">
    <w:abstractNumId w:val="27"/>
  </w:num>
  <w:num w:numId="23">
    <w:abstractNumId w:val="4"/>
  </w:num>
  <w:num w:numId="24">
    <w:abstractNumId w:val="7"/>
  </w:num>
  <w:num w:numId="25">
    <w:abstractNumId w:val="0"/>
  </w:num>
  <w:num w:numId="26">
    <w:abstractNumId w:val="28"/>
  </w:num>
  <w:num w:numId="27">
    <w:abstractNumId w:val="8"/>
  </w:num>
  <w:num w:numId="28">
    <w:abstractNumId w:val="5"/>
  </w:num>
  <w:num w:numId="29">
    <w:abstractNumId w:val="18"/>
  </w:num>
  <w:num w:numId="30">
    <w:abstractNumId w:val="3"/>
  </w:num>
  <w:num w:numId="31">
    <w:abstractNumId w:val="3"/>
  </w:num>
  <w:num w:numId="32">
    <w:abstractNumId w:val="3"/>
  </w:num>
  <w:num w:numId="33">
    <w:abstractNumId w:val="3"/>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1"/>
  </w:num>
  <w:num w:numId="39">
    <w:abstractNumId w:val="17"/>
  </w:num>
  <w:num w:numId="40">
    <w:abstractNumId w:val="26"/>
  </w:num>
  <w:num w:numId="41">
    <w:abstractNumId w:val="13"/>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370"/>
    <w:rsid w:val="00000444"/>
    <w:rsid w:val="00001927"/>
    <w:rsid w:val="000022BC"/>
    <w:rsid w:val="00006544"/>
    <w:rsid w:val="000104BF"/>
    <w:rsid w:val="00010C97"/>
    <w:rsid w:val="00012021"/>
    <w:rsid w:val="0001289F"/>
    <w:rsid w:val="00012EC0"/>
    <w:rsid w:val="00013B40"/>
    <w:rsid w:val="00013F3D"/>
    <w:rsid w:val="000140FF"/>
    <w:rsid w:val="00021324"/>
    <w:rsid w:val="000213D1"/>
    <w:rsid w:val="00022D94"/>
    <w:rsid w:val="00023864"/>
    <w:rsid w:val="0002531B"/>
    <w:rsid w:val="00026291"/>
    <w:rsid w:val="0003180E"/>
    <w:rsid w:val="0003318E"/>
    <w:rsid w:val="000348C3"/>
    <w:rsid w:val="00044515"/>
    <w:rsid w:val="000449EA"/>
    <w:rsid w:val="0004555B"/>
    <w:rsid w:val="000455E3"/>
    <w:rsid w:val="00046783"/>
    <w:rsid w:val="00047572"/>
    <w:rsid w:val="0005256C"/>
    <w:rsid w:val="00052919"/>
    <w:rsid w:val="00053A43"/>
    <w:rsid w:val="000564EB"/>
    <w:rsid w:val="00057565"/>
    <w:rsid w:val="00057604"/>
    <w:rsid w:val="00057AF3"/>
    <w:rsid w:val="00061D72"/>
    <w:rsid w:val="000629C5"/>
    <w:rsid w:val="000643F2"/>
    <w:rsid w:val="000663E8"/>
    <w:rsid w:val="0006727A"/>
    <w:rsid w:val="00067B7B"/>
    <w:rsid w:val="0007094E"/>
    <w:rsid w:val="00072438"/>
    <w:rsid w:val="000751A7"/>
    <w:rsid w:val="00082DFE"/>
    <w:rsid w:val="00091CCB"/>
    <w:rsid w:val="0009323F"/>
    <w:rsid w:val="00094D02"/>
    <w:rsid w:val="00095717"/>
    <w:rsid w:val="000A2CFB"/>
    <w:rsid w:val="000A7A6F"/>
    <w:rsid w:val="000B2C23"/>
    <w:rsid w:val="000B664E"/>
    <w:rsid w:val="000B7ABB"/>
    <w:rsid w:val="000C018E"/>
    <w:rsid w:val="000C0986"/>
    <w:rsid w:val="000D001B"/>
    <w:rsid w:val="000D0A2B"/>
    <w:rsid w:val="000D45F8"/>
    <w:rsid w:val="000E1A4B"/>
    <w:rsid w:val="000E2D54"/>
    <w:rsid w:val="000E63F5"/>
    <w:rsid w:val="000E693C"/>
    <w:rsid w:val="000E7FE4"/>
    <w:rsid w:val="000F28DE"/>
    <w:rsid w:val="000F42D5"/>
    <w:rsid w:val="000F4AD8"/>
    <w:rsid w:val="000F59C1"/>
    <w:rsid w:val="000F6524"/>
    <w:rsid w:val="000F6F25"/>
    <w:rsid w:val="000F793B"/>
    <w:rsid w:val="0010262C"/>
    <w:rsid w:val="00103C98"/>
    <w:rsid w:val="00105370"/>
    <w:rsid w:val="00106165"/>
    <w:rsid w:val="001063EC"/>
    <w:rsid w:val="00110468"/>
    <w:rsid w:val="00110B17"/>
    <w:rsid w:val="00112F5E"/>
    <w:rsid w:val="00113C4A"/>
    <w:rsid w:val="00115E82"/>
    <w:rsid w:val="00117EA9"/>
    <w:rsid w:val="0012273F"/>
    <w:rsid w:val="001227F1"/>
    <w:rsid w:val="001277DB"/>
    <w:rsid w:val="00131B7A"/>
    <w:rsid w:val="001338DF"/>
    <w:rsid w:val="00133982"/>
    <w:rsid w:val="001360E5"/>
    <w:rsid w:val="001366EE"/>
    <w:rsid w:val="00136FEB"/>
    <w:rsid w:val="00137A5B"/>
    <w:rsid w:val="001453CE"/>
    <w:rsid w:val="00146228"/>
    <w:rsid w:val="0015197B"/>
    <w:rsid w:val="0015362E"/>
    <w:rsid w:val="0016443D"/>
    <w:rsid w:val="00164DE6"/>
    <w:rsid w:val="00164F4C"/>
    <w:rsid w:val="0016675E"/>
    <w:rsid w:val="001678AD"/>
    <w:rsid w:val="001707E4"/>
    <w:rsid w:val="001726F3"/>
    <w:rsid w:val="001741CB"/>
    <w:rsid w:val="0017463D"/>
    <w:rsid w:val="00174FA8"/>
    <w:rsid w:val="001758C8"/>
    <w:rsid w:val="00183B77"/>
    <w:rsid w:val="00183CE5"/>
    <w:rsid w:val="001904DE"/>
    <w:rsid w:val="0019524D"/>
    <w:rsid w:val="00195763"/>
    <w:rsid w:val="00196EEF"/>
    <w:rsid w:val="001A1D01"/>
    <w:rsid w:val="001A43F3"/>
    <w:rsid w:val="001A4752"/>
    <w:rsid w:val="001A56E8"/>
    <w:rsid w:val="001A58FC"/>
    <w:rsid w:val="001A7A35"/>
    <w:rsid w:val="001B2917"/>
    <w:rsid w:val="001B41B3"/>
    <w:rsid w:val="001B5A04"/>
    <w:rsid w:val="001B6B07"/>
    <w:rsid w:val="001B7C14"/>
    <w:rsid w:val="001C0382"/>
    <w:rsid w:val="001C3EB2"/>
    <w:rsid w:val="001C422A"/>
    <w:rsid w:val="001C4496"/>
    <w:rsid w:val="001C45E0"/>
    <w:rsid w:val="001C47D1"/>
    <w:rsid w:val="001D015C"/>
    <w:rsid w:val="001D0805"/>
    <w:rsid w:val="001D12C8"/>
    <w:rsid w:val="001D1831"/>
    <w:rsid w:val="001D3169"/>
    <w:rsid w:val="001D3E6A"/>
    <w:rsid w:val="001D53CC"/>
    <w:rsid w:val="001D587F"/>
    <w:rsid w:val="001D5CAA"/>
    <w:rsid w:val="001D63F6"/>
    <w:rsid w:val="001E0C58"/>
    <w:rsid w:val="001E21A8"/>
    <w:rsid w:val="001E42D0"/>
    <w:rsid w:val="001F0B72"/>
    <w:rsid w:val="001F1621"/>
    <w:rsid w:val="001F1B08"/>
    <w:rsid w:val="001F34BC"/>
    <w:rsid w:val="001F45B0"/>
    <w:rsid w:val="001F7124"/>
    <w:rsid w:val="00203B12"/>
    <w:rsid w:val="002052AC"/>
    <w:rsid w:val="00206678"/>
    <w:rsid w:val="00206DFC"/>
    <w:rsid w:val="00210586"/>
    <w:rsid w:val="002114A2"/>
    <w:rsid w:val="00211659"/>
    <w:rsid w:val="0021440A"/>
    <w:rsid w:val="0021675F"/>
    <w:rsid w:val="00217B47"/>
    <w:rsid w:val="00222F09"/>
    <w:rsid w:val="00223DF7"/>
    <w:rsid w:val="002248A2"/>
    <w:rsid w:val="00224FD6"/>
    <w:rsid w:val="0022511E"/>
    <w:rsid w:val="00225BE5"/>
    <w:rsid w:val="0022712B"/>
    <w:rsid w:val="00232AA2"/>
    <w:rsid w:val="002350CB"/>
    <w:rsid w:val="002371DB"/>
    <w:rsid w:val="00237C15"/>
    <w:rsid w:val="00237FFA"/>
    <w:rsid w:val="002400EE"/>
    <w:rsid w:val="002414A9"/>
    <w:rsid w:val="002415F1"/>
    <w:rsid w:val="00241E55"/>
    <w:rsid w:val="002457AD"/>
    <w:rsid w:val="00246EF2"/>
    <w:rsid w:val="00251775"/>
    <w:rsid w:val="00252F50"/>
    <w:rsid w:val="00253B21"/>
    <w:rsid w:val="00256030"/>
    <w:rsid w:val="002571E9"/>
    <w:rsid w:val="00261DC4"/>
    <w:rsid w:val="002629C5"/>
    <w:rsid w:val="0026713C"/>
    <w:rsid w:val="00267906"/>
    <w:rsid w:val="00267E88"/>
    <w:rsid w:val="00267EDA"/>
    <w:rsid w:val="0027137C"/>
    <w:rsid w:val="002728ED"/>
    <w:rsid w:val="00272D9D"/>
    <w:rsid w:val="00275644"/>
    <w:rsid w:val="00275F50"/>
    <w:rsid w:val="002851E5"/>
    <w:rsid w:val="00290A4D"/>
    <w:rsid w:val="00292E35"/>
    <w:rsid w:val="00295F4B"/>
    <w:rsid w:val="00297609"/>
    <w:rsid w:val="002A0484"/>
    <w:rsid w:val="002A24A2"/>
    <w:rsid w:val="002A5C1A"/>
    <w:rsid w:val="002A6054"/>
    <w:rsid w:val="002B0C43"/>
    <w:rsid w:val="002B169F"/>
    <w:rsid w:val="002B4F5C"/>
    <w:rsid w:val="002B5E48"/>
    <w:rsid w:val="002C02F5"/>
    <w:rsid w:val="002C0DBA"/>
    <w:rsid w:val="002C23B0"/>
    <w:rsid w:val="002C2668"/>
    <w:rsid w:val="002C4FEA"/>
    <w:rsid w:val="002C5F4F"/>
    <w:rsid w:val="002C656A"/>
    <w:rsid w:val="002C69FE"/>
    <w:rsid w:val="002D0032"/>
    <w:rsid w:val="002D11FC"/>
    <w:rsid w:val="002D6380"/>
    <w:rsid w:val="002D70EF"/>
    <w:rsid w:val="002D7383"/>
    <w:rsid w:val="002E0B87"/>
    <w:rsid w:val="002E7DCF"/>
    <w:rsid w:val="002F0014"/>
    <w:rsid w:val="002F219F"/>
    <w:rsid w:val="002F4F7A"/>
    <w:rsid w:val="002F730B"/>
    <w:rsid w:val="0030063F"/>
    <w:rsid w:val="003016CB"/>
    <w:rsid w:val="0030175C"/>
    <w:rsid w:val="003040F9"/>
    <w:rsid w:val="003077A4"/>
    <w:rsid w:val="00310E77"/>
    <w:rsid w:val="003135FC"/>
    <w:rsid w:val="00313CBC"/>
    <w:rsid w:val="00313CBF"/>
    <w:rsid w:val="0031432F"/>
    <w:rsid w:val="0032021E"/>
    <w:rsid w:val="00320A79"/>
    <w:rsid w:val="003226F0"/>
    <w:rsid w:val="00323C34"/>
    <w:rsid w:val="003241A8"/>
    <w:rsid w:val="00324B89"/>
    <w:rsid w:val="00326A07"/>
    <w:rsid w:val="00327F76"/>
    <w:rsid w:val="00330B91"/>
    <w:rsid w:val="003344C9"/>
    <w:rsid w:val="0033537A"/>
    <w:rsid w:val="00335C2A"/>
    <w:rsid w:val="00335D68"/>
    <w:rsid w:val="0033622F"/>
    <w:rsid w:val="00337E76"/>
    <w:rsid w:val="00342A30"/>
    <w:rsid w:val="00342FA5"/>
    <w:rsid w:val="003450F4"/>
    <w:rsid w:val="00351B7D"/>
    <w:rsid w:val="00351BA4"/>
    <w:rsid w:val="00351EED"/>
    <w:rsid w:val="0035399D"/>
    <w:rsid w:val="00360896"/>
    <w:rsid w:val="00362348"/>
    <w:rsid w:val="00364DB5"/>
    <w:rsid w:val="003673C0"/>
    <w:rsid w:val="00370171"/>
    <w:rsid w:val="00370E4F"/>
    <w:rsid w:val="003715E6"/>
    <w:rsid w:val="003723B5"/>
    <w:rsid w:val="003735FA"/>
    <w:rsid w:val="00373713"/>
    <w:rsid w:val="00374A99"/>
    <w:rsid w:val="00376326"/>
    <w:rsid w:val="00377AEB"/>
    <w:rsid w:val="0038473B"/>
    <w:rsid w:val="00385458"/>
    <w:rsid w:val="00385979"/>
    <w:rsid w:val="00385B1D"/>
    <w:rsid w:val="00390DB7"/>
    <w:rsid w:val="00391297"/>
    <w:rsid w:val="0039232D"/>
    <w:rsid w:val="00392B6F"/>
    <w:rsid w:val="00393351"/>
    <w:rsid w:val="00395BE8"/>
    <w:rsid w:val="003964A3"/>
    <w:rsid w:val="0039733C"/>
    <w:rsid w:val="003976AD"/>
    <w:rsid w:val="003A2920"/>
    <w:rsid w:val="003A6131"/>
    <w:rsid w:val="003A7F23"/>
    <w:rsid w:val="003B144B"/>
    <w:rsid w:val="003B3150"/>
    <w:rsid w:val="003B362D"/>
    <w:rsid w:val="003B5570"/>
    <w:rsid w:val="003C0614"/>
    <w:rsid w:val="003C1B02"/>
    <w:rsid w:val="003C4049"/>
    <w:rsid w:val="003C5382"/>
    <w:rsid w:val="003C6016"/>
    <w:rsid w:val="003D0AB9"/>
    <w:rsid w:val="003D0AEA"/>
    <w:rsid w:val="003D4732"/>
    <w:rsid w:val="003D62B3"/>
    <w:rsid w:val="003E25D6"/>
    <w:rsid w:val="003E447D"/>
    <w:rsid w:val="003E4B61"/>
    <w:rsid w:val="003E75EE"/>
    <w:rsid w:val="003E7A2F"/>
    <w:rsid w:val="003F403D"/>
    <w:rsid w:val="003F40BB"/>
    <w:rsid w:val="003F5BFA"/>
    <w:rsid w:val="0040118A"/>
    <w:rsid w:val="0040261A"/>
    <w:rsid w:val="00403CFA"/>
    <w:rsid w:val="004045B4"/>
    <w:rsid w:val="00405246"/>
    <w:rsid w:val="00410407"/>
    <w:rsid w:val="00412DA0"/>
    <w:rsid w:val="0041563A"/>
    <w:rsid w:val="0041667A"/>
    <w:rsid w:val="00416754"/>
    <w:rsid w:val="004205AD"/>
    <w:rsid w:val="00420813"/>
    <w:rsid w:val="00420927"/>
    <w:rsid w:val="00421708"/>
    <w:rsid w:val="004221B0"/>
    <w:rsid w:val="004231B5"/>
    <w:rsid w:val="00423E56"/>
    <w:rsid w:val="00425D04"/>
    <w:rsid w:val="00431965"/>
    <w:rsid w:val="00432A40"/>
    <w:rsid w:val="0043343B"/>
    <w:rsid w:val="00433930"/>
    <w:rsid w:val="004339B6"/>
    <w:rsid w:val="004348EE"/>
    <w:rsid w:val="0043717D"/>
    <w:rsid w:val="00440722"/>
    <w:rsid w:val="00440BC7"/>
    <w:rsid w:val="0044260C"/>
    <w:rsid w:val="00442C97"/>
    <w:rsid w:val="004451BA"/>
    <w:rsid w:val="004460C6"/>
    <w:rsid w:val="004470B7"/>
    <w:rsid w:val="00454CA0"/>
    <w:rsid w:val="00455500"/>
    <w:rsid w:val="00457F88"/>
    <w:rsid w:val="00460ADC"/>
    <w:rsid w:val="00465DC6"/>
    <w:rsid w:val="004664B6"/>
    <w:rsid w:val="00470EF5"/>
    <w:rsid w:val="0047544F"/>
    <w:rsid w:val="004771AD"/>
    <w:rsid w:val="00481907"/>
    <w:rsid w:val="00483E37"/>
    <w:rsid w:val="00490C90"/>
    <w:rsid w:val="0049492A"/>
    <w:rsid w:val="00497EAC"/>
    <w:rsid w:val="004A09AE"/>
    <w:rsid w:val="004A3777"/>
    <w:rsid w:val="004A3E23"/>
    <w:rsid w:val="004B2B44"/>
    <w:rsid w:val="004B34E1"/>
    <w:rsid w:val="004B4474"/>
    <w:rsid w:val="004B6D8F"/>
    <w:rsid w:val="004B7B85"/>
    <w:rsid w:val="004B7FFB"/>
    <w:rsid w:val="004C1C47"/>
    <w:rsid w:val="004C211F"/>
    <w:rsid w:val="004C23F9"/>
    <w:rsid w:val="004C2AD0"/>
    <w:rsid w:val="004C4711"/>
    <w:rsid w:val="004C4A09"/>
    <w:rsid w:val="004D0DD0"/>
    <w:rsid w:val="004D1690"/>
    <w:rsid w:val="004D29B9"/>
    <w:rsid w:val="004D3444"/>
    <w:rsid w:val="004D681E"/>
    <w:rsid w:val="004D7499"/>
    <w:rsid w:val="004D76E3"/>
    <w:rsid w:val="004E26FF"/>
    <w:rsid w:val="004E598B"/>
    <w:rsid w:val="004E5AF5"/>
    <w:rsid w:val="004F15C9"/>
    <w:rsid w:val="004F28FE"/>
    <w:rsid w:val="004F4078"/>
    <w:rsid w:val="004F67AA"/>
    <w:rsid w:val="004F687D"/>
    <w:rsid w:val="004F733D"/>
    <w:rsid w:val="005061FE"/>
    <w:rsid w:val="00510B78"/>
    <w:rsid w:val="00512004"/>
    <w:rsid w:val="00513CF4"/>
    <w:rsid w:val="00514076"/>
    <w:rsid w:val="00514FF6"/>
    <w:rsid w:val="00520A6E"/>
    <w:rsid w:val="00525360"/>
    <w:rsid w:val="005276D8"/>
    <w:rsid w:val="00527E87"/>
    <w:rsid w:val="0053097B"/>
    <w:rsid w:val="005311D1"/>
    <w:rsid w:val="00535A63"/>
    <w:rsid w:val="00535DFD"/>
    <w:rsid w:val="005371F7"/>
    <w:rsid w:val="00543B88"/>
    <w:rsid w:val="00543F66"/>
    <w:rsid w:val="00544BED"/>
    <w:rsid w:val="00551E0B"/>
    <w:rsid w:val="00554136"/>
    <w:rsid w:val="005544CF"/>
    <w:rsid w:val="00554A7A"/>
    <w:rsid w:val="0055582F"/>
    <w:rsid w:val="00555E75"/>
    <w:rsid w:val="00556532"/>
    <w:rsid w:val="0056074C"/>
    <w:rsid w:val="005607FE"/>
    <w:rsid w:val="00563E7C"/>
    <w:rsid w:val="00565C9E"/>
    <w:rsid w:val="0056613C"/>
    <w:rsid w:val="00566672"/>
    <w:rsid w:val="005666F7"/>
    <w:rsid w:val="005719F7"/>
    <w:rsid w:val="005752E7"/>
    <w:rsid w:val="00576583"/>
    <w:rsid w:val="00577C23"/>
    <w:rsid w:val="00580C8E"/>
    <w:rsid w:val="0058144F"/>
    <w:rsid w:val="005814A1"/>
    <w:rsid w:val="00583FE4"/>
    <w:rsid w:val="00584D45"/>
    <w:rsid w:val="00587A96"/>
    <w:rsid w:val="00590DDC"/>
    <w:rsid w:val="00590EF3"/>
    <w:rsid w:val="005923E1"/>
    <w:rsid w:val="00592FA1"/>
    <w:rsid w:val="0059710F"/>
    <w:rsid w:val="005A309A"/>
    <w:rsid w:val="005A49CD"/>
    <w:rsid w:val="005A6E02"/>
    <w:rsid w:val="005A7F30"/>
    <w:rsid w:val="005B00BB"/>
    <w:rsid w:val="005B111D"/>
    <w:rsid w:val="005B3A3F"/>
    <w:rsid w:val="005B47D8"/>
    <w:rsid w:val="005B5C41"/>
    <w:rsid w:val="005B6C91"/>
    <w:rsid w:val="005B70DE"/>
    <w:rsid w:val="005C4E37"/>
    <w:rsid w:val="005C50E5"/>
    <w:rsid w:val="005C755A"/>
    <w:rsid w:val="005D2320"/>
    <w:rsid w:val="005D28C7"/>
    <w:rsid w:val="005D3A33"/>
    <w:rsid w:val="005D3C1A"/>
    <w:rsid w:val="005D5BFD"/>
    <w:rsid w:val="005D694C"/>
    <w:rsid w:val="005D6D27"/>
    <w:rsid w:val="005D7EB5"/>
    <w:rsid w:val="005E11EA"/>
    <w:rsid w:val="005E2BC1"/>
    <w:rsid w:val="005E5BDC"/>
    <w:rsid w:val="005F163B"/>
    <w:rsid w:val="005F169E"/>
    <w:rsid w:val="005F3012"/>
    <w:rsid w:val="005F69CE"/>
    <w:rsid w:val="0060063B"/>
    <w:rsid w:val="00601F27"/>
    <w:rsid w:val="0060540A"/>
    <w:rsid w:val="0060716A"/>
    <w:rsid w:val="00613331"/>
    <w:rsid w:val="00613F75"/>
    <w:rsid w:val="00620595"/>
    <w:rsid w:val="00621A9B"/>
    <w:rsid w:val="00621DC4"/>
    <w:rsid w:val="0062337D"/>
    <w:rsid w:val="006254E9"/>
    <w:rsid w:val="00627C21"/>
    <w:rsid w:val="0063074B"/>
    <w:rsid w:val="00631A40"/>
    <w:rsid w:val="00633597"/>
    <w:rsid w:val="00633742"/>
    <w:rsid w:val="00633BBD"/>
    <w:rsid w:val="00633C8B"/>
    <w:rsid w:val="00634B49"/>
    <w:rsid w:val="00634FEB"/>
    <w:rsid w:val="0063535C"/>
    <w:rsid w:val="0063614E"/>
    <w:rsid w:val="00641E39"/>
    <w:rsid w:val="00641E77"/>
    <w:rsid w:val="006436C1"/>
    <w:rsid w:val="0064460B"/>
    <w:rsid w:val="0064589F"/>
    <w:rsid w:val="00655C4C"/>
    <w:rsid w:val="006629A6"/>
    <w:rsid w:val="00662B56"/>
    <w:rsid w:val="00664430"/>
    <w:rsid w:val="00666FD6"/>
    <w:rsid w:val="006673DC"/>
    <w:rsid w:val="00671041"/>
    <w:rsid w:val="00686CF3"/>
    <w:rsid w:val="006907CC"/>
    <w:rsid w:val="0069181E"/>
    <w:rsid w:val="00694C7F"/>
    <w:rsid w:val="006A2F5D"/>
    <w:rsid w:val="006A32A3"/>
    <w:rsid w:val="006A3D5C"/>
    <w:rsid w:val="006A4F5F"/>
    <w:rsid w:val="006A7746"/>
    <w:rsid w:val="006B1508"/>
    <w:rsid w:val="006B2337"/>
    <w:rsid w:val="006B3E09"/>
    <w:rsid w:val="006B3E85"/>
    <w:rsid w:val="006B4626"/>
    <w:rsid w:val="006B4D41"/>
    <w:rsid w:val="006B590A"/>
    <w:rsid w:val="006C17A3"/>
    <w:rsid w:val="006C3445"/>
    <w:rsid w:val="006C586A"/>
    <w:rsid w:val="006C7A99"/>
    <w:rsid w:val="006D0112"/>
    <w:rsid w:val="006D08C9"/>
    <w:rsid w:val="006D0D54"/>
    <w:rsid w:val="006D1EE6"/>
    <w:rsid w:val="006D3068"/>
    <w:rsid w:val="006D5BFC"/>
    <w:rsid w:val="006D5FF3"/>
    <w:rsid w:val="006E32D3"/>
    <w:rsid w:val="006E7D0B"/>
    <w:rsid w:val="006E7E3D"/>
    <w:rsid w:val="006F0B7C"/>
    <w:rsid w:val="006F30DB"/>
    <w:rsid w:val="00701DAE"/>
    <w:rsid w:val="0070377D"/>
    <w:rsid w:val="007101E2"/>
    <w:rsid w:val="007106D3"/>
    <w:rsid w:val="007168DA"/>
    <w:rsid w:val="007212A4"/>
    <w:rsid w:val="00723152"/>
    <w:rsid w:val="00723843"/>
    <w:rsid w:val="007267F6"/>
    <w:rsid w:val="0073068A"/>
    <w:rsid w:val="00730B47"/>
    <w:rsid w:val="00731015"/>
    <w:rsid w:val="007312EF"/>
    <w:rsid w:val="00734DB0"/>
    <w:rsid w:val="0074104A"/>
    <w:rsid w:val="0074158A"/>
    <w:rsid w:val="0074261D"/>
    <w:rsid w:val="00747358"/>
    <w:rsid w:val="00751553"/>
    <w:rsid w:val="00751EBB"/>
    <w:rsid w:val="0075268A"/>
    <w:rsid w:val="007555C8"/>
    <w:rsid w:val="00757DE6"/>
    <w:rsid w:val="00763136"/>
    <w:rsid w:val="00766800"/>
    <w:rsid w:val="00770957"/>
    <w:rsid w:val="00772240"/>
    <w:rsid w:val="00774370"/>
    <w:rsid w:val="00776F4A"/>
    <w:rsid w:val="00777E94"/>
    <w:rsid w:val="00780365"/>
    <w:rsid w:val="00781878"/>
    <w:rsid w:val="007830C9"/>
    <w:rsid w:val="00785D58"/>
    <w:rsid w:val="007876C6"/>
    <w:rsid w:val="007950D3"/>
    <w:rsid w:val="007975BF"/>
    <w:rsid w:val="007A162F"/>
    <w:rsid w:val="007A1F40"/>
    <w:rsid w:val="007A48F5"/>
    <w:rsid w:val="007B1249"/>
    <w:rsid w:val="007B1DA3"/>
    <w:rsid w:val="007B2D20"/>
    <w:rsid w:val="007C057B"/>
    <w:rsid w:val="007C1151"/>
    <w:rsid w:val="007C218C"/>
    <w:rsid w:val="007C25EB"/>
    <w:rsid w:val="007C3BD4"/>
    <w:rsid w:val="007C4B6F"/>
    <w:rsid w:val="007C5BB2"/>
    <w:rsid w:val="007C69A9"/>
    <w:rsid w:val="007D4CA7"/>
    <w:rsid w:val="007D59BE"/>
    <w:rsid w:val="007D65BB"/>
    <w:rsid w:val="007E0069"/>
    <w:rsid w:val="007E17DB"/>
    <w:rsid w:val="007E26D3"/>
    <w:rsid w:val="007E40B2"/>
    <w:rsid w:val="007F160D"/>
    <w:rsid w:val="007F7F9A"/>
    <w:rsid w:val="00800AA9"/>
    <w:rsid w:val="008020E6"/>
    <w:rsid w:val="00803B42"/>
    <w:rsid w:val="00810134"/>
    <w:rsid w:val="00810688"/>
    <w:rsid w:val="0081148A"/>
    <w:rsid w:val="008122D7"/>
    <w:rsid w:val="008131C2"/>
    <w:rsid w:val="0081651A"/>
    <w:rsid w:val="00821D72"/>
    <w:rsid w:val="008227F7"/>
    <w:rsid w:val="008269C0"/>
    <w:rsid w:val="008350F0"/>
    <w:rsid w:val="00835734"/>
    <w:rsid w:val="00840157"/>
    <w:rsid w:val="0084029C"/>
    <w:rsid w:val="00844DD7"/>
    <w:rsid w:val="0084508C"/>
    <w:rsid w:val="00845940"/>
    <w:rsid w:val="008571C0"/>
    <w:rsid w:val="008602E7"/>
    <w:rsid w:val="00860C12"/>
    <w:rsid w:val="00863F1F"/>
    <w:rsid w:val="00865D41"/>
    <w:rsid w:val="00867899"/>
    <w:rsid w:val="0087371C"/>
    <w:rsid w:val="0087374D"/>
    <w:rsid w:val="00873A37"/>
    <w:rsid w:val="008750D7"/>
    <w:rsid w:val="0087545D"/>
    <w:rsid w:val="008755BF"/>
    <w:rsid w:val="0087621F"/>
    <w:rsid w:val="00876565"/>
    <w:rsid w:val="008771CB"/>
    <w:rsid w:val="0087777C"/>
    <w:rsid w:val="00882055"/>
    <w:rsid w:val="00883446"/>
    <w:rsid w:val="0088440E"/>
    <w:rsid w:val="0088599F"/>
    <w:rsid w:val="0089309C"/>
    <w:rsid w:val="008A1F82"/>
    <w:rsid w:val="008A2978"/>
    <w:rsid w:val="008A5455"/>
    <w:rsid w:val="008A70B6"/>
    <w:rsid w:val="008B088C"/>
    <w:rsid w:val="008B2637"/>
    <w:rsid w:val="008B4282"/>
    <w:rsid w:val="008B44DF"/>
    <w:rsid w:val="008B4C53"/>
    <w:rsid w:val="008C1070"/>
    <w:rsid w:val="008C3171"/>
    <w:rsid w:val="008C3FF0"/>
    <w:rsid w:val="008C50A8"/>
    <w:rsid w:val="008C6A0E"/>
    <w:rsid w:val="008C7C97"/>
    <w:rsid w:val="008D1FC1"/>
    <w:rsid w:val="008D2111"/>
    <w:rsid w:val="008D40C6"/>
    <w:rsid w:val="008E0129"/>
    <w:rsid w:val="008E1575"/>
    <w:rsid w:val="008E1BA3"/>
    <w:rsid w:val="008E6ACF"/>
    <w:rsid w:val="008F20D9"/>
    <w:rsid w:val="008F20FD"/>
    <w:rsid w:val="008F2AAB"/>
    <w:rsid w:val="008F3587"/>
    <w:rsid w:val="008F7769"/>
    <w:rsid w:val="0090479F"/>
    <w:rsid w:val="009052B0"/>
    <w:rsid w:val="00905A73"/>
    <w:rsid w:val="009107E5"/>
    <w:rsid w:val="00911A06"/>
    <w:rsid w:val="0091335D"/>
    <w:rsid w:val="009142A2"/>
    <w:rsid w:val="009170B9"/>
    <w:rsid w:val="00917B1B"/>
    <w:rsid w:val="009230EE"/>
    <w:rsid w:val="00923EF9"/>
    <w:rsid w:val="009256AB"/>
    <w:rsid w:val="00926A57"/>
    <w:rsid w:val="00931287"/>
    <w:rsid w:val="00931614"/>
    <w:rsid w:val="00935E6A"/>
    <w:rsid w:val="00941FAB"/>
    <w:rsid w:val="00942C55"/>
    <w:rsid w:val="00945836"/>
    <w:rsid w:val="00946601"/>
    <w:rsid w:val="009466C6"/>
    <w:rsid w:val="00952982"/>
    <w:rsid w:val="00960E21"/>
    <w:rsid w:val="009625F0"/>
    <w:rsid w:val="00963EC3"/>
    <w:rsid w:val="00966541"/>
    <w:rsid w:val="00975E18"/>
    <w:rsid w:val="00976B04"/>
    <w:rsid w:val="009770C8"/>
    <w:rsid w:val="00977138"/>
    <w:rsid w:val="00980F1C"/>
    <w:rsid w:val="00981808"/>
    <w:rsid w:val="00982DC8"/>
    <w:rsid w:val="00993E9A"/>
    <w:rsid w:val="009A3715"/>
    <w:rsid w:val="009A3E10"/>
    <w:rsid w:val="009A4A6C"/>
    <w:rsid w:val="009A4F0A"/>
    <w:rsid w:val="009A5D20"/>
    <w:rsid w:val="009A606A"/>
    <w:rsid w:val="009B274B"/>
    <w:rsid w:val="009B3E1A"/>
    <w:rsid w:val="009B5CD9"/>
    <w:rsid w:val="009B606B"/>
    <w:rsid w:val="009B717A"/>
    <w:rsid w:val="009C062D"/>
    <w:rsid w:val="009C77F9"/>
    <w:rsid w:val="009D21BF"/>
    <w:rsid w:val="009D26CC"/>
    <w:rsid w:val="009D3CF2"/>
    <w:rsid w:val="009D44A2"/>
    <w:rsid w:val="009D7458"/>
    <w:rsid w:val="009D7B8A"/>
    <w:rsid w:val="009E0EFD"/>
    <w:rsid w:val="009E0F44"/>
    <w:rsid w:val="009E15FB"/>
    <w:rsid w:val="009E280C"/>
    <w:rsid w:val="009E2CA2"/>
    <w:rsid w:val="009E3B08"/>
    <w:rsid w:val="009E3C92"/>
    <w:rsid w:val="009E41B1"/>
    <w:rsid w:val="009E7310"/>
    <w:rsid w:val="009F3F67"/>
    <w:rsid w:val="009F6D19"/>
    <w:rsid w:val="00A00EE1"/>
    <w:rsid w:val="00A017D6"/>
    <w:rsid w:val="00A038C7"/>
    <w:rsid w:val="00A04FF1"/>
    <w:rsid w:val="00A058E4"/>
    <w:rsid w:val="00A138FF"/>
    <w:rsid w:val="00A159E4"/>
    <w:rsid w:val="00A216BC"/>
    <w:rsid w:val="00A21C56"/>
    <w:rsid w:val="00A25A48"/>
    <w:rsid w:val="00A33980"/>
    <w:rsid w:val="00A33F3C"/>
    <w:rsid w:val="00A35039"/>
    <w:rsid w:val="00A35B14"/>
    <w:rsid w:val="00A35BCB"/>
    <w:rsid w:val="00A36790"/>
    <w:rsid w:val="00A43121"/>
    <w:rsid w:val="00A44BFD"/>
    <w:rsid w:val="00A4785D"/>
    <w:rsid w:val="00A522BB"/>
    <w:rsid w:val="00A56D5B"/>
    <w:rsid w:val="00A60820"/>
    <w:rsid w:val="00A60A4D"/>
    <w:rsid w:val="00A6111D"/>
    <w:rsid w:val="00A616FA"/>
    <w:rsid w:val="00A6466D"/>
    <w:rsid w:val="00A67363"/>
    <w:rsid w:val="00A67ECA"/>
    <w:rsid w:val="00A70B8E"/>
    <w:rsid w:val="00A7149B"/>
    <w:rsid w:val="00A74713"/>
    <w:rsid w:val="00A7678F"/>
    <w:rsid w:val="00A76A25"/>
    <w:rsid w:val="00A80467"/>
    <w:rsid w:val="00A8295C"/>
    <w:rsid w:val="00A864DA"/>
    <w:rsid w:val="00A900EA"/>
    <w:rsid w:val="00A93B2D"/>
    <w:rsid w:val="00AA32CD"/>
    <w:rsid w:val="00AB24EB"/>
    <w:rsid w:val="00AB545B"/>
    <w:rsid w:val="00AB6A5C"/>
    <w:rsid w:val="00AC4FDE"/>
    <w:rsid w:val="00AC5E4B"/>
    <w:rsid w:val="00AC7DAB"/>
    <w:rsid w:val="00AD12FB"/>
    <w:rsid w:val="00AD24F3"/>
    <w:rsid w:val="00AD2574"/>
    <w:rsid w:val="00AD3E37"/>
    <w:rsid w:val="00AD4D57"/>
    <w:rsid w:val="00AD5D13"/>
    <w:rsid w:val="00AD6995"/>
    <w:rsid w:val="00AE08A1"/>
    <w:rsid w:val="00AE21E8"/>
    <w:rsid w:val="00AE54AA"/>
    <w:rsid w:val="00AE7C7B"/>
    <w:rsid w:val="00AF03BC"/>
    <w:rsid w:val="00AF20CC"/>
    <w:rsid w:val="00AF708B"/>
    <w:rsid w:val="00B0234C"/>
    <w:rsid w:val="00B02FF7"/>
    <w:rsid w:val="00B062D0"/>
    <w:rsid w:val="00B06DDA"/>
    <w:rsid w:val="00B07765"/>
    <w:rsid w:val="00B07C42"/>
    <w:rsid w:val="00B112B8"/>
    <w:rsid w:val="00B1218B"/>
    <w:rsid w:val="00B15882"/>
    <w:rsid w:val="00B23B78"/>
    <w:rsid w:val="00B2475B"/>
    <w:rsid w:val="00B2573D"/>
    <w:rsid w:val="00B26A1F"/>
    <w:rsid w:val="00B27806"/>
    <w:rsid w:val="00B27FD2"/>
    <w:rsid w:val="00B32783"/>
    <w:rsid w:val="00B33381"/>
    <w:rsid w:val="00B33CF7"/>
    <w:rsid w:val="00B364D7"/>
    <w:rsid w:val="00B37075"/>
    <w:rsid w:val="00B37882"/>
    <w:rsid w:val="00B41262"/>
    <w:rsid w:val="00B45414"/>
    <w:rsid w:val="00B52535"/>
    <w:rsid w:val="00B529CE"/>
    <w:rsid w:val="00B52A4D"/>
    <w:rsid w:val="00B52DD7"/>
    <w:rsid w:val="00B56E4C"/>
    <w:rsid w:val="00B6004F"/>
    <w:rsid w:val="00B65278"/>
    <w:rsid w:val="00B66793"/>
    <w:rsid w:val="00B70293"/>
    <w:rsid w:val="00B7440B"/>
    <w:rsid w:val="00B75980"/>
    <w:rsid w:val="00B765DE"/>
    <w:rsid w:val="00B80CAA"/>
    <w:rsid w:val="00B81842"/>
    <w:rsid w:val="00B84F92"/>
    <w:rsid w:val="00B85D37"/>
    <w:rsid w:val="00B85FAD"/>
    <w:rsid w:val="00B87E4B"/>
    <w:rsid w:val="00B96792"/>
    <w:rsid w:val="00B96A72"/>
    <w:rsid w:val="00BA0D28"/>
    <w:rsid w:val="00BA1EBF"/>
    <w:rsid w:val="00BA2164"/>
    <w:rsid w:val="00BA22DD"/>
    <w:rsid w:val="00BA2603"/>
    <w:rsid w:val="00BA4610"/>
    <w:rsid w:val="00BB01A1"/>
    <w:rsid w:val="00BB0B29"/>
    <w:rsid w:val="00BB24D0"/>
    <w:rsid w:val="00BB2FF8"/>
    <w:rsid w:val="00BB3B70"/>
    <w:rsid w:val="00BB3D4C"/>
    <w:rsid w:val="00BB3F46"/>
    <w:rsid w:val="00BB49D5"/>
    <w:rsid w:val="00BB4AA4"/>
    <w:rsid w:val="00BB5319"/>
    <w:rsid w:val="00BB785D"/>
    <w:rsid w:val="00BB7F45"/>
    <w:rsid w:val="00BC1CB7"/>
    <w:rsid w:val="00BC367A"/>
    <w:rsid w:val="00BC70B6"/>
    <w:rsid w:val="00BD10EF"/>
    <w:rsid w:val="00BD275C"/>
    <w:rsid w:val="00BD4393"/>
    <w:rsid w:val="00BE0837"/>
    <w:rsid w:val="00BE2758"/>
    <w:rsid w:val="00BE31BF"/>
    <w:rsid w:val="00BE447C"/>
    <w:rsid w:val="00BE608B"/>
    <w:rsid w:val="00BE6D94"/>
    <w:rsid w:val="00BE7E5C"/>
    <w:rsid w:val="00BF1FF2"/>
    <w:rsid w:val="00BF355B"/>
    <w:rsid w:val="00BF744C"/>
    <w:rsid w:val="00C00845"/>
    <w:rsid w:val="00C04AD3"/>
    <w:rsid w:val="00C04D59"/>
    <w:rsid w:val="00C06A16"/>
    <w:rsid w:val="00C06FCB"/>
    <w:rsid w:val="00C1035E"/>
    <w:rsid w:val="00C112FB"/>
    <w:rsid w:val="00C11391"/>
    <w:rsid w:val="00C1302F"/>
    <w:rsid w:val="00C16602"/>
    <w:rsid w:val="00C16F2A"/>
    <w:rsid w:val="00C2129A"/>
    <w:rsid w:val="00C23A50"/>
    <w:rsid w:val="00C25F4A"/>
    <w:rsid w:val="00C312C8"/>
    <w:rsid w:val="00C325FC"/>
    <w:rsid w:val="00C348A3"/>
    <w:rsid w:val="00C360C7"/>
    <w:rsid w:val="00C40C80"/>
    <w:rsid w:val="00C41F85"/>
    <w:rsid w:val="00C44AEF"/>
    <w:rsid w:val="00C44F5A"/>
    <w:rsid w:val="00C57FB9"/>
    <w:rsid w:val="00C61FA7"/>
    <w:rsid w:val="00C721E1"/>
    <w:rsid w:val="00C747DB"/>
    <w:rsid w:val="00C762A8"/>
    <w:rsid w:val="00C82ABB"/>
    <w:rsid w:val="00C86E38"/>
    <w:rsid w:val="00C90B22"/>
    <w:rsid w:val="00C90D86"/>
    <w:rsid w:val="00C919FF"/>
    <w:rsid w:val="00C929D9"/>
    <w:rsid w:val="00C9373A"/>
    <w:rsid w:val="00C94C45"/>
    <w:rsid w:val="00C94E04"/>
    <w:rsid w:val="00C94FC7"/>
    <w:rsid w:val="00C9529F"/>
    <w:rsid w:val="00C95A8B"/>
    <w:rsid w:val="00C97CEE"/>
    <w:rsid w:val="00CA0B66"/>
    <w:rsid w:val="00CA1BCF"/>
    <w:rsid w:val="00CA2FBE"/>
    <w:rsid w:val="00CA458B"/>
    <w:rsid w:val="00CA57D9"/>
    <w:rsid w:val="00CA586E"/>
    <w:rsid w:val="00CA695B"/>
    <w:rsid w:val="00CB288C"/>
    <w:rsid w:val="00CB381C"/>
    <w:rsid w:val="00CB71AE"/>
    <w:rsid w:val="00CC25B9"/>
    <w:rsid w:val="00CC2B38"/>
    <w:rsid w:val="00CC2B58"/>
    <w:rsid w:val="00CC3CAE"/>
    <w:rsid w:val="00CC4DD8"/>
    <w:rsid w:val="00CD2EB7"/>
    <w:rsid w:val="00CD755B"/>
    <w:rsid w:val="00CD756A"/>
    <w:rsid w:val="00CD7E2A"/>
    <w:rsid w:val="00CD7F32"/>
    <w:rsid w:val="00CE26C7"/>
    <w:rsid w:val="00CE300E"/>
    <w:rsid w:val="00CE323A"/>
    <w:rsid w:val="00CE3246"/>
    <w:rsid w:val="00CE4C6A"/>
    <w:rsid w:val="00CE674C"/>
    <w:rsid w:val="00CF0E81"/>
    <w:rsid w:val="00CF57AD"/>
    <w:rsid w:val="00CF712C"/>
    <w:rsid w:val="00D00216"/>
    <w:rsid w:val="00D02EC1"/>
    <w:rsid w:val="00D04500"/>
    <w:rsid w:val="00D130E2"/>
    <w:rsid w:val="00D13121"/>
    <w:rsid w:val="00D146E2"/>
    <w:rsid w:val="00D152E0"/>
    <w:rsid w:val="00D171E5"/>
    <w:rsid w:val="00D205C8"/>
    <w:rsid w:val="00D24D52"/>
    <w:rsid w:val="00D266F0"/>
    <w:rsid w:val="00D30490"/>
    <w:rsid w:val="00D3057D"/>
    <w:rsid w:val="00D30926"/>
    <w:rsid w:val="00D31778"/>
    <w:rsid w:val="00D34487"/>
    <w:rsid w:val="00D37101"/>
    <w:rsid w:val="00D37291"/>
    <w:rsid w:val="00D37DF5"/>
    <w:rsid w:val="00D418CC"/>
    <w:rsid w:val="00D42872"/>
    <w:rsid w:val="00D42891"/>
    <w:rsid w:val="00D47232"/>
    <w:rsid w:val="00D536F0"/>
    <w:rsid w:val="00D56D56"/>
    <w:rsid w:val="00D605AF"/>
    <w:rsid w:val="00D6472E"/>
    <w:rsid w:val="00D675AC"/>
    <w:rsid w:val="00D70254"/>
    <w:rsid w:val="00D70B9C"/>
    <w:rsid w:val="00D724F3"/>
    <w:rsid w:val="00D729F1"/>
    <w:rsid w:val="00D7302D"/>
    <w:rsid w:val="00D73170"/>
    <w:rsid w:val="00D75034"/>
    <w:rsid w:val="00D7765A"/>
    <w:rsid w:val="00D80CF9"/>
    <w:rsid w:val="00D81562"/>
    <w:rsid w:val="00D83927"/>
    <w:rsid w:val="00D85581"/>
    <w:rsid w:val="00D864C2"/>
    <w:rsid w:val="00D93433"/>
    <w:rsid w:val="00D94D2D"/>
    <w:rsid w:val="00D9702B"/>
    <w:rsid w:val="00DA0BE1"/>
    <w:rsid w:val="00DA0E18"/>
    <w:rsid w:val="00DA3054"/>
    <w:rsid w:val="00DA5CA4"/>
    <w:rsid w:val="00DB1E92"/>
    <w:rsid w:val="00DB256D"/>
    <w:rsid w:val="00DB5D48"/>
    <w:rsid w:val="00DC1073"/>
    <w:rsid w:val="00DC5480"/>
    <w:rsid w:val="00DC565C"/>
    <w:rsid w:val="00DC5A9D"/>
    <w:rsid w:val="00DC6CD6"/>
    <w:rsid w:val="00DC729C"/>
    <w:rsid w:val="00DC73A7"/>
    <w:rsid w:val="00DC7CC6"/>
    <w:rsid w:val="00DD0451"/>
    <w:rsid w:val="00DD2A80"/>
    <w:rsid w:val="00DD3B40"/>
    <w:rsid w:val="00DE05E0"/>
    <w:rsid w:val="00DE1C15"/>
    <w:rsid w:val="00DE3B87"/>
    <w:rsid w:val="00DF0B9A"/>
    <w:rsid w:val="00DF26E3"/>
    <w:rsid w:val="00DF2D64"/>
    <w:rsid w:val="00DF4C39"/>
    <w:rsid w:val="00DF7BCF"/>
    <w:rsid w:val="00E002A5"/>
    <w:rsid w:val="00E0146F"/>
    <w:rsid w:val="00E01537"/>
    <w:rsid w:val="00E02E17"/>
    <w:rsid w:val="00E05080"/>
    <w:rsid w:val="00E100BE"/>
    <w:rsid w:val="00E101FC"/>
    <w:rsid w:val="00E10F4B"/>
    <w:rsid w:val="00E13158"/>
    <w:rsid w:val="00E1361F"/>
    <w:rsid w:val="00E1370F"/>
    <w:rsid w:val="00E15EE7"/>
    <w:rsid w:val="00E37B7C"/>
    <w:rsid w:val="00E424D1"/>
    <w:rsid w:val="00E44896"/>
    <w:rsid w:val="00E45641"/>
    <w:rsid w:val="00E46D82"/>
    <w:rsid w:val="00E47BB8"/>
    <w:rsid w:val="00E5180B"/>
    <w:rsid w:val="00E5437B"/>
    <w:rsid w:val="00E55408"/>
    <w:rsid w:val="00E61ADE"/>
    <w:rsid w:val="00E61B04"/>
    <w:rsid w:val="00E6371A"/>
    <w:rsid w:val="00E64CFC"/>
    <w:rsid w:val="00E64E81"/>
    <w:rsid w:val="00E66BD8"/>
    <w:rsid w:val="00E66F22"/>
    <w:rsid w:val="00E675DA"/>
    <w:rsid w:val="00E71610"/>
    <w:rsid w:val="00E726B5"/>
    <w:rsid w:val="00E72F60"/>
    <w:rsid w:val="00E823A6"/>
    <w:rsid w:val="00E85D86"/>
    <w:rsid w:val="00E9185D"/>
    <w:rsid w:val="00E970BA"/>
    <w:rsid w:val="00EA1DF3"/>
    <w:rsid w:val="00EA211A"/>
    <w:rsid w:val="00EA2E2B"/>
    <w:rsid w:val="00EA37BF"/>
    <w:rsid w:val="00EA4AE5"/>
    <w:rsid w:val="00EA4E9D"/>
    <w:rsid w:val="00EA4FE4"/>
    <w:rsid w:val="00EA62A6"/>
    <w:rsid w:val="00EA7A4B"/>
    <w:rsid w:val="00EB031A"/>
    <w:rsid w:val="00EB0BB5"/>
    <w:rsid w:val="00EB14F9"/>
    <w:rsid w:val="00EB347C"/>
    <w:rsid w:val="00EB5A82"/>
    <w:rsid w:val="00EB6845"/>
    <w:rsid w:val="00EB6C6D"/>
    <w:rsid w:val="00EB7825"/>
    <w:rsid w:val="00EC45CF"/>
    <w:rsid w:val="00EC54E6"/>
    <w:rsid w:val="00EC6595"/>
    <w:rsid w:val="00EC7869"/>
    <w:rsid w:val="00ED148F"/>
    <w:rsid w:val="00ED2CDE"/>
    <w:rsid w:val="00ED4C22"/>
    <w:rsid w:val="00ED5C47"/>
    <w:rsid w:val="00ED62C4"/>
    <w:rsid w:val="00ED7623"/>
    <w:rsid w:val="00EE480A"/>
    <w:rsid w:val="00EE66D8"/>
    <w:rsid w:val="00EF166E"/>
    <w:rsid w:val="00EF4A82"/>
    <w:rsid w:val="00EF6FCF"/>
    <w:rsid w:val="00EF7EA4"/>
    <w:rsid w:val="00F03477"/>
    <w:rsid w:val="00F04424"/>
    <w:rsid w:val="00F04AE6"/>
    <w:rsid w:val="00F0532C"/>
    <w:rsid w:val="00F13BED"/>
    <w:rsid w:val="00F16848"/>
    <w:rsid w:val="00F24CAB"/>
    <w:rsid w:val="00F25067"/>
    <w:rsid w:val="00F250CB"/>
    <w:rsid w:val="00F251EC"/>
    <w:rsid w:val="00F2759D"/>
    <w:rsid w:val="00F3224D"/>
    <w:rsid w:val="00F34BEE"/>
    <w:rsid w:val="00F3627B"/>
    <w:rsid w:val="00F40646"/>
    <w:rsid w:val="00F40CB8"/>
    <w:rsid w:val="00F43553"/>
    <w:rsid w:val="00F43715"/>
    <w:rsid w:val="00F4404E"/>
    <w:rsid w:val="00F509F2"/>
    <w:rsid w:val="00F50B13"/>
    <w:rsid w:val="00F512DF"/>
    <w:rsid w:val="00F52459"/>
    <w:rsid w:val="00F54D62"/>
    <w:rsid w:val="00F6085E"/>
    <w:rsid w:val="00F61D61"/>
    <w:rsid w:val="00F6341A"/>
    <w:rsid w:val="00F6718F"/>
    <w:rsid w:val="00F73294"/>
    <w:rsid w:val="00F75550"/>
    <w:rsid w:val="00F81E6B"/>
    <w:rsid w:val="00F82F9C"/>
    <w:rsid w:val="00F83088"/>
    <w:rsid w:val="00F85E21"/>
    <w:rsid w:val="00F86D38"/>
    <w:rsid w:val="00F9020B"/>
    <w:rsid w:val="00F90982"/>
    <w:rsid w:val="00F9217B"/>
    <w:rsid w:val="00F937B6"/>
    <w:rsid w:val="00F9400E"/>
    <w:rsid w:val="00F96802"/>
    <w:rsid w:val="00FA72AC"/>
    <w:rsid w:val="00FB0239"/>
    <w:rsid w:val="00FB090D"/>
    <w:rsid w:val="00FB0B86"/>
    <w:rsid w:val="00FB0E9B"/>
    <w:rsid w:val="00FB1B3D"/>
    <w:rsid w:val="00FB2E05"/>
    <w:rsid w:val="00FB45D4"/>
    <w:rsid w:val="00FB46A2"/>
    <w:rsid w:val="00FB4752"/>
    <w:rsid w:val="00FB52D1"/>
    <w:rsid w:val="00FB63CD"/>
    <w:rsid w:val="00FB64B6"/>
    <w:rsid w:val="00FC0084"/>
    <w:rsid w:val="00FC14A5"/>
    <w:rsid w:val="00FC6822"/>
    <w:rsid w:val="00FD28AA"/>
    <w:rsid w:val="00FE0CD0"/>
    <w:rsid w:val="00FE4A3E"/>
    <w:rsid w:val="00FF1B05"/>
    <w:rsid w:val="00FF3F5C"/>
    <w:rsid w:val="00FF4392"/>
    <w:rsid w:val="00FF7114"/>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03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873A37"/>
    <w:pPr>
      <w:spacing w:before="160" w:line="260" w:lineRule="exact"/>
      <w:jc w:val="both"/>
    </w:pPr>
    <w:rPr>
      <w:rFonts w:ascii="Century Gothic" w:hAnsi="Century Gothic"/>
      <w:sz w:val="20"/>
    </w:rPr>
  </w:style>
  <w:style w:type="paragraph" w:styleId="Heading1">
    <w:name w:val="heading 1"/>
    <w:basedOn w:val="Normal"/>
    <w:next w:val="Normal"/>
    <w:link w:val="Heading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Heading3">
    <w:name w:val="heading 3"/>
    <w:basedOn w:val="Normal"/>
    <w:next w:val="Normal"/>
    <w:link w:val="Heading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Heading4">
    <w:name w:val="heading 4"/>
    <w:basedOn w:val="Normal"/>
    <w:next w:val="LeiptekstiMigri"/>
    <w:link w:val="Heading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F66"/>
    <w:rPr>
      <w:rFonts w:ascii="Century Gothic" w:eastAsiaTheme="majorEastAsia" w:hAnsi="Century Gothic" w:cstheme="majorBidi"/>
      <w:b/>
      <w:color w:val="000000" w:themeColor="text1"/>
      <w:sz w:val="28"/>
      <w:szCs w:val="32"/>
    </w:rPr>
  </w:style>
  <w:style w:type="character" w:customStyle="1" w:styleId="Heading2Char">
    <w:name w:val="Heading 2 Char"/>
    <w:basedOn w:val="DefaultParagraphFont"/>
    <w:link w:val="Heading2"/>
    <w:uiPriority w:val="9"/>
    <w:rsid w:val="00DE3B87"/>
    <w:rPr>
      <w:rFonts w:ascii="Century Gothic" w:eastAsiaTheme="majorEastAsia" w:hAnsi="Century Gothic" w:cstheme="majorHAnsi"/>
      <w:b/>
      <w:color w:val="000000" w:themeColor="text1"/>
      <w:sz w:val="28"/>
      <w:szCs w:val="26"/>
    </w:rPr>
  </w:style>
  <w:style w:type="character" w:customStyle="1" w:styleId="Heading3Char">
    <w:name w:val="Heading 3 Char"/>
    <w:basedOn w:val="DefaultParagraphFont"/>
    <w:link w:val="Heading3"/>
    <w:uiPriority w:val="9"/>
    <w:rsid w:val="00633597"/>
    <w:rPr>
      <w:rFonts w:ascii="Century Gothic" w:eastAsiaTheme="majorEastAsia" w:hAnsi="Century Gothic" w:cstheme="majorBidi"/>
      <w:b/>
      <w:color w:val="000000" w:themeColor="text1"/>
      <w:sz w:val="24"/>
      <w:szCs w:val="24"/>
    </w:rPr>
  </w:style>
  <w:style w:type="paragraph" w:styleId="Title">
    <w:name w:val="Title"/>
    <w:basedOn w:val="Normal"/>
    <w:next w:val="Normal"/>
    <w:link w:val="Title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3E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E0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069"/>
    <w:rPr>
      <w:rFonts w:ascii="Century Gothic" w:hAnsi="Century Gothic"/>
      <w:sz w:val="20"/>
    </w:rPr>
  </w:style>
  <w:style w:type="paragraph" w:styleId="Footer">
    <w:name w:val="footer"/>
    <w:basedOn w:val="Normal"/>
    <w:link w:val="FooterChar"/>
    <w:uiPriority w:val="99"/>
    <w:unhideWhenUsed/>
    <w:rsid w:val="007E0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069"/>
    <w:rPr>
      <w:rFonts w:ascii="Century Gothic" w:hAnsi="Century Gothic"/>
      <w:sz w:val="20"/>
    </w:rPr>
  </w:style>
  <w:style w:type="paragraph" w:styleId="BalloonText">
    <w:name w:val="Balloon Text"/>
    <w:basedOn w:val="Normal"/>
    <w:link w:val="BalloonTextChar"/>
    <w:uiPriority w:val="99"/>
    <w:semiHidden/>
    <w:unhideWhenUsed/>
    <w:rsid w:val="007E0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69"/>
    <w:rPr>
      <w:rFonts w:ascii="Segoe UI" w:hAnsi="Segoe UI" w:cs="Segoe UI"/>
      <w:sz w:val="18"/>
      <w:szCs w:val="18"/>
    </w:rPr>
  </w:style>
  <w:style w:type="table" w:styleId="TableGrid">
    <w:name w:val="Table Grid"/>
    <w:basedOn w:val="TableNormal"/>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l"/>
    <w:link w:val="LeiptekstiMigriChar"/>
    <w:rsid w:val="00117EA9"/>
    <w:pPr>
      <w:spacing w:before="120" w:after="120" w:line="240" w:lineRule="auto"/>
      <w:ind w:left="1440"/>
    </w:pPr>
  </w:style>
  <w:style w:type="paragraph" w:styleId="ListParagraph">
    <w:name w:val="List Paragraph"/>
    <w:basedOn w:val="Normal"/>
    <w:uiPriority w:val="34"/>
    <w:rsid w:val="0074158A"/>
    <w:pPr>
      <w:ind w:left="720"/>
      <w:contextualSpacing/>
    </w:pPr>
  </w:style>
  <w:style w:type="character" w:customStyle="1" w:styleId="Heading4Char">
    <w:name w:val="Heading 4 Char"/>
    <w:basedOn w:val="DefaultParagraphFont"/>
    <w:link w:val="Heading4"/>
    <w:uiPriority w:val="9"/>
    <w:rsid w:val="00633597"/>
    <w:rPr>
      <w:rFonts w:ascii="Century Gothic" w:eastAsiaTheme="majorEastAsia" w:hAnsi="Century Gothic" w:cstheme="majorBidi"/>
      <w:b/>
      <w:iCs/>
      <w:color w:val="000000" w:themeColor="text1"/>
      <w:sz w:val="20"/>
    </w:rPr>
  </w:style>
  <w:style w:type="paragraph" w:styleId="Caption">
    <w:name w:val="caption"/>
    <w:aliases w:val="Quote"/>
    <w:basedOn w:val="Normal"/>
    <w:next w:val="Normal"/>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Heading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PageNumber">
    <w:name w:val="page number"/>
    <w:basedOn w:val="DefaultParagraphFont"/>
    <w:rsid w:val="00803B42"/>
  </w:style>
  <w:style w:type="paragraph" w:customStyle="1" w:styleId="POTSIKKO">
    <w:name w:val="PÄÄOTSIKKO"/>
    <w:basedOn w:val="Heading1"/>
    <w:next w:val="Normal"/>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l"/>
    <w:next w:val="LeiptekstiMigri"/>
    <w:uiPriority w:val="11"/>
    <w:qFormat/>
    <w:rsid w:val="00FB090D"/>
    <w:pPr>
      <w:spacing w:after="240"/>
    </w:pPr>
    <w:rPr>
      <w:i/>
      <w:sz w:val="16"/>
    </w:rPr>
  </w:style>
  <w:style w:type="paragraph" w:customStyle="1" w:styleId="Otsikko2numerolla">
    <w:name w:val="Otsikko 2 numerolla"/>
    <w:basedOn w:val="Heading2"/>
    <w:link w:val="Otsikko2numerollaChar"/>
    <w:uiPriority w:val="11"/>
    <w:rsid w:val="006F0B7C"/>
    <w:pPr>
      <w:numPr>
        <w:numId w:val="10"/>
      </w:numPr>
    </w:pPr>
    <w:rPr>
      <w:rFonts w:eastAsiaTheme="minorHAnsi"/>
    </w:rPr>
  </w:style>
  <w:style w:type="paragraph" w:customStyle="1" w:styleId="Otsikko3numerolla">
    <w:name w:val="Otsikko 3 numerolla"/>
    <w:basedOn w:val="Heading3"/>
    <w:link w:val="Otsikko3numerollaChar"/>
    <w:uiPriority w:val="11"/>
    <w:rsid w:val="006F0B7C"/>
    <w:pPr>
      <w:numPr>
        <w:ilvl w:val="0"/>
        <w:numId w:val="15"/>
      </w:numPr>
    </w:pPr>
  </w:style>
  <w:style w:type="character" w:customStyle="1" w:styleId="Otsikko2numerollaChar">
    <w:name w:val="Otsikko 2 numerolla Char"/>
    <w:basedOn w:val="Heading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Heading3Char"/>
    <w:link w:val="Otsikko3numerolla"/>
    <w:uiPriority w:val="11"/>
    <w:rsid w:val="006F0B7C"/>
    <w:rPr>
      <w:rFonts w:ascii="Century Gothic" w:eastAsiaTheme="majorEastAsia" w:hAnsi="Century Gothic" w:cstheme="majorBidi"/>
      <w:b/>
      <w:color w:val="000000" w:themeColor="text1"/>
      <w:sz w:val="24"/>
      <w:szCs w:val="24"/>
    </w:rPr>
  </w:style>
  <w:style w:type="paragraph" w:styleId="TOC1">
    <w:name w:val="toc 1"/>
    <w:basedOn w:val="Normal"/>
    <w:next w:val="Normal"/>
    <w:autoRedefine/>
    <w:uiPriority w:val="39"/>
    <w:unhideWhenUsed/>
    <w:rsid w:val="00D171E5"/>
    <w:pPr>
      <w:spacing w:after="100"/>
    </w:pPr>
  </w:style>
  <w:style w:type="paragraph" w:styleId="TOC3">
    <w:name w:val="toc 3"/>
    <w:basedOn w:val="Normal"/>
    <w:next w:val="Normal"/>
    <w:autoRedefine/>
    <w:uiPriority w:val="39"/>
    <w:unhideWhenUsed/>
    <w:rsid w:val="00D171E5"/>
    <w:pPr>
      <w:spacing w:after="100"/>
      <w:ind w:left="400"/>
    </w:pPr>
  </w:style>
  <w:style w:type="paragraph" w:styleId="TOC4">
    <w:name w:val="toc 4"/>
    <w:basedOn w:val="Normal"/>
    <w:next w:val="Normal"/>
    <w:autoRedefine/>
    <w:uiPriority w:val="39"/>
    <w:unhideWhenUsed/>
    <w:rsid w:val="00D171E5"/>
    <w:pPr>
      <w:spacing w:after="100"/>
      <w:ind w:left="600"/>
    </w:pPr>
  </w:style>
  <w:style w:type="character" w:styleId="Hyperlink">
    <w:name w:val="Hyperlink"/>
    <w:basedOn w:val="DefaultParagraphFont"/>
    <w:uiPriority w:val="99"/>
    <w:unhideWhenUsed/>
    <w:rsid w:val="00D171E5"/>
    <w:rPr>
      <w:color w:val="0563C1" w:themeColor="hyperlink"/>
      <w:u w:val="single"/>
    </w:rPr>
  </w:style>
  <w:style w:type="character" w:styleId="PlaceholderText">
    <w:name w:val="Placeholder Text"/>
    <w:basedOn w:val="DefaultParagraphFont"/>
    <w:uiPriority w:val="99"/>
    <w:semiHidden/>
    <w:rsid w:val="00082DFE"/>
    <w:rPr>
      <w:color w:val="808080"/>
    </w:rPr>
  </w:style>
  <w:style w:type="paragraph" w:styleId="Quote">
    <w:name w:val="Quote"/>
    <w:basedOn w:val="Normal"/>
    <w:next w:val="Normal"/>
    <w:link w:val="QuoteChar"/>
    <w:uiPriority w:val="29"/>
    <w:rsid w:val="00082DF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82DFE"/>
    <w:rPr>
      <w:rFonts w:ascii="Century Gothic" w:hAnsi="Century Gothic"/>
      <w:i/>
      <w:iCs/>
      <w:color w:val="404040" w:themeColor="text1" w:themeTint="BF"/>
      <w:sz w:val="20"/>
    </w:rPr>
  </w:style>
  <w:style w:type="character" w:styleId="Emphasis">
    <w:name w:val="Emphasis"/>
    <w:basedOn w:val="DefaultParagraphFont"/>
    <w:uiPriority w:val="20"/>
    <w:qFormat/>
    <w:rsid w:val="001D63F6"/>
    <w:rPr>
      <w:i/>
      <w:iCs/>
    </w:rPr>
  </w:style>
  <w:style w:type="character" w:styleId="Strong">
    <w:name w:val="Strong"/>
    <w:basedOn w:val="DefaultParagraphFont"/>
    <w:uiPriority w:val="22"/>
    <w:qFormat/>
    <w:rsid w:val="001D63F6"/>
    <w:rPr>
      <w:b/>
      <w:bCs/>
    </w:rPr>
  </w:style>
  <w:style w:type="paragraph" w:styleId="FootnoteText">
    <w:name w:val="footnote text"/>
    <w:basedOn w:val="Normal"/>
    <w:link w:val="FootnoteTextChar"/>
    <w:uiPriority w:val="99"/>
    <w:unhideWhenUsed/>
    <w:rsid w:val="00873A37"/>
    <w:pPr>
      <w:spacing w:before="0" w:after="0" w:line="240" w:lineRule="auto"/>
    </w:pPr>
    <w:rPr>
      <w:szCs w:val="20"/>
    </w:rPr>
  </w:style>
  <w:style w:type="character" w:customStyle="1" w:styleId="FootnoteTextChar">
    <w:name w:val="Footnote Text Char"/>
    <w:basedOn w:val="DefaultParagraphFont"/>
    <w:link w:val="FootnoteText"/>
    <w:uiPriority w:val="99"/>
    <w:rsid w:val="00873A37"/>
    <w:rPr>
      <w:rFonts w:ascii="Century Gothic" w:hAnsi="Century Gothic"/>
      <w:sz w:val="20"/>
      <w:szCs w:val="20"/>
    </w:rPr>
  </w:style>
  <w:style w:type="character" w:styleId="FootnoteReference">
    <w:name w:val="footnote reference"/>
    <w:basedOn w:val="DefaultParagraphFont"/>
    <w:uiPriority w:val="99"/>
    <w:unhideWhenUsed/>
    <w:rsid w:val="00873A37"/>
    <w:rPr>
      <w:rFonts w:ascii="Century Gothic" w:hAnsi="Century Gothic"/>
      <w:sz w:val="20"/>
      <w:vertAlign w:val="superscript"/>
    </w:rPr>
  </w:style>
  <w:style w:type="character" w:customStyle="1" w:styleId="Tyyli1">
    <w:name w:val="Tyyli1"/>
    <w:basedOn w:val="Strong"/>
    <w:uiPriority w:val="1"/>
    <w:rsid w:val="00BC367A"/>
    <w:rPr>
      <w:b/>
      <w:bCs/>
      <w:sz w:val="16"/>
    </w:rPr>
  </w:style>
  <w:style w:type="character" w:styleId="UnresolvedMention">
    <w:name w:val="Unresolved Mention"/>
    <w:basedOn w:val="DefaultParagraphFont"/>
    <w:uiPriority w:val="99"/>
    <w:semiHidden/>
    <w:unhideWhenUsed/>
    <w:rsid w:val="008B44DF"/>
    <w:rPr>
      <w:color w:val="605E5C"/>
      <w:shd w:val="clear" w:color="auto" w:fill="E1DFDD"/>
    </w:rPr>
  </w:style>
  <w:style w:type="character" w:customStyle="1" w:styleId="Heading5Char">
    <w:name w:val="Heading 5 Char"/>
    <w:basedOn w:val="DefaultParagraphFont"/>
    <w:link w:val="Heading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DefaultParagraphFont"/>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l"/>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DefaultParagraphFont"/>
    <w:link w:val="Kysymykset"/>
    <w:uiPriority w:val="11"/>
    <w:rsid w:val="001741CB"/>
    <w:rPr>
      <w:rFonts w:ascii="Century Gothic" w:hAnsi="Century Gothic"/>
      <w:color w:val="000000" w:themeColor="text1"/>
      <w:sz w:val="20"/>
    </w:rPr>
  </w:style>
  <w:style w:type="paragraph" w:customStyle="1" w:styleId="Otsikko11">
    <w:name w:val="Otsikko 11"/>
    <w:basedOn w:val="Normal"/>
    <w:rsid w:val="00A8295C"/>
    <w:pPr>
      <w:numPr>
        <w:numId w:val="18"/>
      </w:numPr>
    </w:pPr>
  </w:style>
  <w:style w:type="paragraph" w:customStyle="1" w:styleId="Otsikko21">
    <w:name w:val="Otsikko 21"/>
    <w:basedOn w:val="Normal"/>
    <w:rsid w:val="00A8295C"/>
    <w:pPr>
      <w:numPr>
        <w:ilvl w:val="1"/>
        <w:numId w:val="18"/>
      </w:numPr>
    </w:pPr>
  </w:style>
  <w:style w:type="paragraph" w:customStyle="1" w:styleId="Otsikko31">
    <w:name w:val="Otsikko 31"/>
    <w:basedOn w:val="Normal"/>
    <w:rsid w:val="00A8295C"/>
    <w:pPr>
      <w:numPr>
        <w:ilvl w:val="2"/>
        <w:numId w:val="18"/>
      </w:numPr>
    </w:pPr>
  </w:style>
  <w:style w:type="paragraph" w:customStyle="1" w:styleId="Otsikko41">
    <w:name w:val="Otsikko 41"/>
    <w:basedOn w:val="Normal"/>
    <w:rsid w:val="00A8295C"/>
    <w:pPr>
      <w:numPr>
        <w:ilvl w:val="3"/>
        <w:numId w:val="18"/>
      </w:numPr>
    </w:pPr>
  </w:style>
  <w:style w:type="paragraph" w:customStyle="1" w:styleId="Otsikko51">
    <w:name w:val="Otsikko 51"/>
    <w:basedOn w:val="Normal"/>
    <w:rsid w:val="00A8295C"/>
    <w:pPr>
      <w:numPr>
        <w:ilvl w:val="4"/>
        <w:numId w:val="18"/>
      </w:numPr>
    </w:pPr>
  </w:style>
  <w:style w:type="paragraph" w:customStyle="1" w:styleId="Otsikko61">
    <w:name w:val="Otsikko 61"/>
    <w:basedOn w:val="Normal"/>
    <w:rsid w:val="00A8295C"/>
    <w:pPr>
      <w:numPr>
        <w:ilvl w:val="5"/>
        <w:numId w:val="18"/>
      </w:numPr>
    </w:pPr>
  </w:style>
  <w:style w:type="paragraph" w:customStyle="1" w:styleId="Otsikko71">
    <w:name w:val="Otsikko 71"/>
    <w:basedOn w:val="Normal"/>
    <w:rsid w:val="00A8295C"/>
    <w:pPr>
      <w:numPr>
        <w:ilvl w:val="6"/>
        <w:numId w:val="18"/>
      </w:numPr>
    </w:pPr>
  </w:style>
  <w:style w:type="paragraph" w:customStyle="1" w:styleId="Otsikko81">
    <w:name w:val="Otsikko 81"/>
    <w:basedOn w:val="Normal"/>
    <w:rsid w:val="00A8295C"/>
    <w:pPr>
      <w:numPr>
        <w:ilvl w:val="7"/>
        <w:numId w:val="18"/>
      </w:numPr>
    </w:pPr>
  </w:style>
  <w:style w:type="paragraph" w:customStyle="1" w:styleId="Otsikko91">
    <w:name w:val="Otsikko 91"/>
    <w:basedOn w:val="Normal"/>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l"/>
    <w:link w:val="PotsikkoChar0"/>
    <w:uiPriority w:val="11"/>
    <w:rsid w:val="00A8295C"/>
    <w:rPr>
      <w:rFonts w:eastAsiaTheme="minorHAnsi" w:cstheme="minorHAnsi"/>
      <w:color w:val="auto"/>
      <w:spacing w:val="0"/>
      <w:szCs w:val="22"/>
    </w:rPr>
  </w:style>
  <w:style w:type="character" w:customStyle="1" w:styleId="POTSIKKOChar">
    <w:name w:val="PÄÄOTSIKKO Char"/>
    <w:basedOn w:val="Heading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customStyle="1" w:styleId="c5subheading">
    <w:name w:val="c5subheading"/>
    <w:basedOn w:val="DefaultParagraphFont"/>
    <w:rsid w:val="00AA32CD"/>
  </w:style>
  <w:style w:type="paragraph" w:styleId="NormalWeb">
    <w:name w:val="Normal (Web)"/>
    <w:basedOn w:val="Normal"/>
    <w:uiPriority w:val="99"/>
    <w:unhideWhenUsed/>
    <w:rsid w:val="00AA32CD"/>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character" w:customStyle="1" w:styleId="footnotecitations-wrapper">
    <w:name w:val="footnote__citations-wrapper"/>
    <w:basedOn w:val="DefaultParagraphFont"/>
    <w:rsid w:val="00AA32CD"/>
  </w:style>
  <w:style w:type="character" w:styleId="FollowedHyperlink">
    <w:name w:val="FollowedHyperlink"/>
    <w:basedOn w:val="DefaultParagraphFont"/>
    <w:uiPriority w:val="99"/>
    <w:semiHidden/>
    <w:unhideWhenUsed/>
    <w:rsid w:val="00CA2FBE"/>
    <w:rPr>
      <w:color w:val="954F72" w:themeColor="followedHyperlink"/>
      <w:u w:val="single"/>
    </w:rPr>
  </w:style>
  <w:style w:type="character" w:styleId="CommentReference">
    <w:name w:val="annotation reference"/>
    <w:basedOn w:val="DefaultParagraphFont"/>
    <w:uiPriority w:val="99"/>
    <w:semiHidden/>
    <w:unhideWhenUsed/>
    <w:rsid w:val="002415F1"/>
    <w:rPr>
      <w:sz w:val="16"/>
      <w:szCs w:val="16"/>
    </w:rPr>
  </w:style>
  <w:style w:type="paragraph" w:styleId="CommentText">
    <w:name w:val="annotation text"/>
    <w:basedOn w:val="Normal"/>
    <w:link w:val="CommentTextChar"/>
    <w:uiPriority w:val="99"/>
    <w:unhideWhenUsed/>
    <w:rsid w:val="002415F1"/>
    <w:pPr>
      <w:spacing w:line="240" w:lineRule="auto"/>
    </w:pPr>
    <w:rPr>
      <w:szCs w:val="20"/>
    </w:rPr>
  </w:style>
  <w:style w:type="character" w:customStyle="1" w:styleId="CommentTextChar">
    <w:name w:val="Comment Text Char"/>
    <w:basedOn w:val="DefaultParagraphFont"/>
    <w:link w:val="CommentText"/>
    <w:uiPriority w:val="99"/>
    <w:rsid w:val="002415F1"/>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2415F1"/>
    <w:rPr>
      <w:b/>
      <w:bCs/>
    </w:rPr>
  </w:style>
  <w:style w:type="character" w:customStyle="1" w:styleId="CommentSubjectChar">
    <w:name w:val="Comment Subject Char"/>
    <w:basedOn w:val="CommentTextChar"/>
    <w:link w:val="CommentSubject"/>
    <w:uiPriority w:val="99"/>
    <w:semiHidden/>
    <w:rsid w:val="002415F1"/>
    <w:rPr>
      <w:rFonts w:ascii="Century Gothic" w:hAnsi="Century Gothic"/>
      <w:b/>
      <w:bCs/>
      <w:sz w:val="20"/>
      <w:szCs w:val="20"/>
    </w:rPr>
  </w:style>
  <w:style w:type="character" w:customStyle="1" w:styleId="c9sub-subheader">
    <w:name w:val="c9sub-subheader"/>
    <w:basedOn w:val="DefaultParagraphFont"/>
    <w:rsid w:val="00FF4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4964">
      <w:bodyDiv w:val="1"/>
      <w:marLeft w:val="0"/>
      <w:marRight w:val="0"/>
      <w:marTop w:val="0"/>
      <w:marBottom w:val="0"/>
      <w:divBdr>
        <w:top w:val="none" w:sz="0" w:space="0" w:color="auto"/>
        <w:left w:val="none" w:sz="0" w:space="0" w:color="auto"/>
        <w:bottom w:val="none" w:sz="0" w:space="0" w:color="auto"/>
        <w:right w:val="none" w:sz="0" w:space="0" w:color="auto"/>
      </w:divBdr>
    </w:div>
    <w:div w:id="172038622">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27250909">
      <w:bodyDiv w:val="1"/>
      <w:marLeft w:val="0"/>
      <w:marRight w:val="0"/>
      <w:marTop w:val="0"/>
      <w:marBottom w:val="0"/>
      <w:divBdr>
        <w:top w:val="none" w:sz="0" w:space="0" w:color="auto"/>
        <w:left w:val="none" w:sz="0" w:space="0" w:color="auto"/>
        <w:bottom w:val="none" w:sz="0" w:space="0" w:color="auto"/>
        <w:right w:val="none" w:sz="0" w:space="0" w:color="auto"/>
      </w:divBdr>
    </w:div>
    <w:div w:id="384643232">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487139640">
      <w:bodyDiv w:val="1"/>
      <w:marLeft w:val="0"/>
      <w:marRight w:val="0"/>
      <w:marTop w:val="0"/>
      <w:marBottom w:val="0"/>
      <w:divBdr>
        <w:top w:val="none" w:sz="0" w:space="0" w:color="auto"/>
        <w:left w:val="none" w:sz="0" w:space="0" w:color="auto"/>
        <w:bottom w:val="none" w:sz="0" w:space="0" w:color="auto"/>
        <w:right w:val="none" w:sz="0" w:space="0" w:color="auto"/>
      </w:divBdr>
    </w:div>
    <w:div w:id="544290594">
      <w:bodyDiv w:val="1"/>
      <w:marLeft w:val="0"/>
      <w:marRight w:val="0"/>
      <w:marTop w:val="0"/>
      <w:marBottom w:val="0"/>
      <w:divBdr>
        <w:top w:val="none" w:sz="0" w:space="0" w:color="auto"/>
        <w:left w:val="none" w:sz="0" w:space="0" w:color="auto"/>
        <w:bottom w:val="none" w:sz="0" w:space="0" w:color="auto"/>
        <w:right w:val="none" w:sz="0" w:space="0" w:color="auto"/>
      </w:divBdr>
    </w:div>
    <w:div w:id="610354537">
      <w:bodyDiv w:val="1"/>
      <w:marLeft w:val="0"/>
      <w:marRight w:val="0"/>
      <w:marTop w:val="0"/>
      <w:marBottom w:val="0"/>
      <w:divBdr>
        <w:top w:val="none" w:sz="0" w:space="0" w:color="auto"/>
        <w:left w:val="none" w:sz="0" w:space="0" w:color="auto"/>
        <w:bottom w:val="none" w:sz="0" w:space="0" w:color="auto"/>
        <w:right w:val="none" w:sz="0" w:space="0" w:color="auto"/>
      </w:divBdr>
    </w:div>
    <w:div w:id="658849185">
      <w:bodyDiv w:val="1"/>
      <w:marLeft w:val="0"/>
      <w:marRight w:val="0"/>
      <w:marTop w:val="0"/>
      <w:marBottom w:val="0"/>
      <w:divBdr>
        <w:top w:val="none" w:sz="0" w:space="0" w:color="auto"/>
        <w:left w:val="none" w:sz="0" w:space="0" w:color="auto"/>
        <w:bottom w:val="none" w:sz="0" w:space="0" w:color="auto"/>
        <w:right w:val="none" w:sz="0" w:space="0" w:color="auto"/>
      </w:divBdr>
    </w:div>
    <w:div w:id="685643148">
      <w:bodyDiv w:val="1"/>
      <w:marLeft w:val="0"/>
      <w:marRight w:val="0"/>
      <w:marTop w:val="0"/>
      <w:marBottom w:val="0"/>
      <w:divBdr>
        <w:top w:val="none" w:sz="0" w:space="0" w:color="auto"/>
        <w:left w:val="none" w:sz="0" w:space="0" w:color="auto"/>
        <w:bottom w:val="none" w:sz="0" w:space="0" w:color="auto"/>
        <w:right w:val="none" w:sz="0" w:space="0" w:color="auto"/>
      </w:divBdr>
    </w:div>
    <w:div w:id="730812198">
      <w:bodyDiv w:val="1"/>
      <w:marLeft w:val="0"/>
      <w:marRight w:val="0"/>
      <w:marTop w:val="0"/>
      <w:marBottom w:val="0"/>
      <w:divBdr>
        <w:top w:val="none" w:sz="0" w:space="0" w:color="auto"/>
        <w:left w:val="none" w:sz="0" w:space="0" w:color="auto"/>
        <w:bottom w:val="none" w:sz="0" w:space="0" w:color="auto"/>
        <w:right w:val="none" w:sz="0" w:space="0" w:color="auto"/>
      </w:divBdr>
    </w:div>
    <w:div w:id="761073860">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849216867">
      <w:bodyDiv w:val="1"/>
      <w:marLeft w:val="0"/>
      <w:marRight w:val="0"/>
      <w:marTop w:val="0"/>
      <w:marBottom w:val="0"/>
      <w:divBdr>
        <w:top w:val="none" w:sz="0" w:space="0" w:color="auto"/>
        <w:left w:val="none" w:sz="0" w:space="0" w:color="auto"/>
        <w:bottom w:val="none" w:sz="0" w:space="0" w:color="auto"/>
        <w:right w:val="none" w:sz="0" w:space="0" w:color="auto"/>
      </w:divBdr>
    </w:div>
    <w:div w:id="1046872396">
      <w:bodyDiv w:val="1"/>
      <w:marLeft w:val="0"/>
      <w:marRight w:val="0"/>
      <w:marTop w:val="0"/>
      <w:marBottom w:val="0"/>
      <w:divBdr>
        <w:top w:val="none" w:sz="0" w:space="0" w:color="auto"/>
        <w:left w:val="none" w:sz="0" w:space="0" w:color="auto"/>
        <w:bottom w:val="none" w:sz="0" w:space="0" w:color="auto"/>
        <w:right w:val="none" w:sz="0" w:space="0" w:color="auto"/>
      </w:divBdr>
    </w:div>
    <w:div w:id="1056857693">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24882694">
      <w:bodyDiv w:val="1"/>
      <w:marLeft w:val="0"/>
      <w:marRight w:val="0"/>
      <w:marTop w:val="0"/>
      <w:marBottom w:val="0"/>
      <w:divBdr>
        <w:top w:val="none" w:sz="0" w:space="0" w:color="auto"/>
        <w:left w:val="none" w:sz="0" w:space="0" w:color="auto"/>
        <w:bottom w:val="none" w:sz="0" w:space="0" w:color="auto"/>
        <w:right w:val="none" w:sz="0" w:space="0" w:color="auto"/>
      </w:divBdr>
    </w:div>
    <w:div w:id="1147628151">
      <w:bodyDiv w:val="1"/>
      <w:marLeft w:val="0"/>
      <w:marRight w:val="0"/>
      <w:marTop w:val="0"/>
      <w:marBottom w:val="0"/>
      <w:divBdr>
        <w:top w:val="none" w:sz="0" w:space="0" w:color="auto"/>
        <w:left w:val="none" w:sz="0" w:space="0" w:color="auto"/>
        <w:bottom w:val="none" w:sz="0" w:space="0" w:color="auto"/>
        <w:right w:val="none" w:sz="0" w:space="0" w:color="auto"/>
      </w:divBdr>
    </w:div>
    <w:div w:id="1164201705">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250574852">
      <w:bodyDiv w:val="1"/>
      <w:marLeft w:val="0"/>
      <w:marRight w:val="0"/>
      <w:marTop w:val="0"/>
      <w:marBottom w:val="0"/>
      <w:divBdr>
        <w:top w:val="none" w:sz="0" w:space="0" w:color="auto"/>
        <w:left w:val="none" w:sz="0" w:space="0" w:color="auto"/>
        <w:bottom w:val="none" w:sz="0" w:space="0" w:color="auto"/>
        <w:right w:val="none" w:sz="0" w:space="0" w:color="auto"/>
      </w:divBdr>
    </w:div>
    <w:div w:id="1295328698">
      <w:bodyDiv w:val="1"/>
      <w:marLeft w:val="0"/>
      <w:marRight w:val="0"/>
      <w:marTop w:val="0"/>
      <w:marBottom w:val="0"/>
      <w:divBdr>
        <w:top w:val="none" w:sz="0" w:space="0" w:color="auto"/>
        <w:left w:val="none" w:sz="0" w:space="0" w:color="auto"/>
        <w:bottom w:val="none" w:sz="0" w:space="0" w:color="auto"/>
        <w:right w:val="none" w:sz="0" w:space="0" w:color="auto"/>
      </w:divBdr>
    </w:div>
    <w:div w:id="1487820922">
      <w:bodyDiv w:val="1"/>
      <w:marLeft w:val="0"/>
      <w:marRight w:val="0"/>
      <w:marTop w:val="0"/>
      <w:marBottom w:val="0"/>
      <w:divBdr>
        <w:top w:val="none" w:sz="0" w:space="0" w:color="auto"/>
        <w:left w:val="none" w:sz="0" w:space="0" w:color="auto"/>
        <w:bottom w:val="none" w:sz="0" w:space="0" w:color="auto"/>
        <w:right w:val="none" w:sz="0" w:space="0" w:color="auto"/>
      </w:divBdr>
    </w:div>
    <w:div w:id="1508135388">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58127640">
      <w:bodyDiv w:val="1"/>
      <w:marLeft w:val="0"/>
      <w:marRight w:val="0"/>
      <w:marTop w:val="0"/>
      <w:marBottom w:val="0"/>
      <w:divBdr>
        <w:top w:val="none" w:sz="0" w:space="0" w:color="auto"/>
        <w:left w:val="none" w:sz="0" w:space="0" w:color="auto"/>
        <w:bottom w:val="none" w:sz="0" w:space="0" w:color="auto"/>
        <w:right w:val="none" w:sz="0" w:space="0" w:color="auto"/>
      </w:divBdr>
      <w:divsChild>
        <w:div w:id="13485619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65722750">
      <w:bodyDiv w:val="1"/>
      <w:marLeft w:val="0"/>
      <w:marRight w:val="0"/>
      <w:marTop w:val="0"/>
      <w:marBottom w:val="0"/>
      <w:divBdr>
        <w:top w:val="none" w:sz="0" w:space="0" w:color="auto"/>
        <w:left w:val="none" w:sz="0" w:space="0" w:color="auto"/>
        <w:bottom w:val="none" w:sz="0" w:space="0" w:color="auto"/>
        <w:right w:val="none" w:sz="0" w:space="0" w:color="auto"/>
      </w:divBdr>
    </w:div>
    <w:div w:id="1570311779">
      <w:bodyDiv w:val="1"/>
      <w:marLeft w:val="0"/>
      <w:marRight w:val="0"/>
      <w:marTop w:val="0"/>
      <w:marBottom w:val="0"/>
      <w:divBdr>
        <w:top w:val="none" w:sz="0" w:space="0" w:color="auto"/>
        <w:left w:val="none" w:sz="0" w:space="0" w:color="auto"/>
        <w:bottom w:val="none" w:sz="0" w:space="0" w:color="auto"/>
        <w:right w:val="none" w:sz="0" w:space="0" w:color="auto"/>
      </w:divBdr>
    </w:div>
    <w:div w:id="1653829986">
      <w:bodyDiv w:val="1"/>
      <w:marLeft w:val="0"/>
      <w:marRight w:val="0"/>
      <w:marTop w:val="0"/>
      <w:marBottom w:val="0"/>
      <w:divBdr>
        <w:top w:val="none" w:sz="0" w:space="0" w:color="auto"/>
        <w:left w:val="none" w:sz="0" w:space="0" w:color="auto"/>
        <w:bottom w:val="none" w:sz="0" w:space="0" w:color="auto"/>
        <w:right w:val="none" w:sz="0" w:space="0" w:color="auto"/>
      </w:divBdr>
    </w:div>
    <w:div w:id="1700281920">
      <w:bodyDiv w:val="1"/>
      <w:marLeft w:val="0"/>
      <w:marRight w:val="0"/>
      <w:marTop w:val="0"/>
      <w:marBottom w:val="0"/>
      <w:divBdr>
        <w:top w:val="none" w:sz="0" w:space="0" w:color="auto"/>
        <w:left w:val="none" w:sz="0" w:space="0" w:color="auto"/>
        <w:bottom w:val="none" w:sz="0" w:space="0" w:color="auto"/>
        <w:right w:val="none" w:sz="0" w:space="0" w:color="auto"/>
      </w:divBdr>
    </w:div>
    <w:div w:id="1711570897">
      <w:bodyDiv w:val="1"/>
      <w:marLeft w:val="0"/>
      <w:marRight w:val="0"/>
      <w:marTop w:val="0"/>
      <w:marBottom w:val="0"/>
      <w:divBdr>
        <w:top w:val="none" w:sz="0" w:space="0" w:color="auto"/>
        <w:left w:val="none" w:sz="0" w:space="0" w:color="auto"/>
        <w:bottom w:val="none" w:sz="0" w:space="0" w:color="auto"/>
        <w:right w:val="none" w:sz="0" w:space="0" w:color="auto"/>
      </w:divBdr>
    </w:div>
    <w:div w:id="1823933761">
      <w:bodyDiv w:val="1"/>
      <w:marLeft w:val="0"/>
      <w:marRight w:val="0"/>
      <w:marTop w:val="0"/>
      <w:marBottom w:val="0"/>
      <w:divBdr>
        <w:top w:val="none" w:sz="0" w:space="0" w:color="auto"/>
        <w:left w:val="none" w:sz="0" w:space="0" w:color="auto"/>
        <w:bottom w:val="none" w:sz="0" w:space="0" w:color="auto"/>
        <w:right w:val="none" w:sz="0" w:space="0" w:color="auto"/>
      </w:divBdr>
    </w:div>
    <w:div w:id="1833329342">
      <w:bodyDiv w:val="1"/>
      <w:marLeft w:val="0"/>
      <w:marRight w:val="0"/>
      <w:marTop w:val="0"/>
      <w:marBottom w:val="0"/>
      <w:divBdr>
        <w:top w:val="none" w:sz="0" w:space="0" w:color="auto"/>
        <w:left w:val="none" w:sz="0" w:space="0" w:color="auto"/>
        <w:bottom w:val="none" w:sz="0" w:space="0" w:color="auto"/>
        <w:right w:val="none" w:sz="0" w:space="0" w:color="auto"/>
      </w:divBdr>
      <w:divsChild>
        <w:div w:id="1999720950">
          <w:marLeft w:val="0"/>
          <w:marRight w:val="0"/>
          <w:marTop w:val="0"/>
          <w:marBottom w:val="0"/>
          <w:divBdr>
            <w:top w:val="none" w:sz="0" w:space="0" w:color="auto"/>
            <w:left w:val="none" w:sz="0" w:space="0" w:color="auto"/>
            <w:bottom w:val="none" w:sz="0" w:space="0" w:color="auto"/>
            <w:right w:val="none" w:sz="0" w:space="0" w:color="auto"/>
          </w:divBdr>
        </w:div>
      </w:divsChild>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910267387">
      <w:bodyDiv w:val="1"/>
      <w:marLeft w:val="0"/>
      <w:marRight w:val="0"/>
      <w:marTop w:val="0"/>
      <w:marBottom w:val="0"/>
      <w:divBdr>
        <w:top w:val="none" w:sz="0" w:space="0" w:color="auto"/>
        <w:left w:val="none" w:sz="0" w:space="0" w:color="auto"/>
        <w:bottom w:val="none" w:sz="0" w:space="0" w:color="auto"/>
        <w:right w:val="none" w:sz="0" w:space="0" w:color="auto"/>
      </w:divBdr>
    </w:div>
    <w:div w:id="1914965876">
      <w:bodyDiv w:val="1"/>
      <w:marLeft w:val="0"/>
      <w:marRight w:val="0"/>
      <w:marTop w:val="0"/>
      <w:marBottom w:val="0"/>
      <w:divBdr>
        <w:top w:val="none" w:sz="0" w:space="0" w:color="auto"/>
        <w:left w:val="none" w:sz="0" w:space="0" w:color="auto"/>
        <w:bottom w:val="none" w:sz="0" w:space="0" w:color="auto"/>
        <w:right w:val="none" w:sz="0" w:space="0" w:color="auto"/>
      </w:divBdr>
    </w:div>
    <w:div w:id="2063601546">
      <w:bodyDiv w:val="1"/>
      <w:marLeft w:val="0"/>
      <w:marRight w:val="0"/>
      <w:marTop w:val="0"/>
      <w:marBottom w:val="0"/>
      <w:divBdr>
        <w:top w:val="none" w:sz="0" w:space="0" w:color="auto"/>
        <w:left w:val="none" w:sz="0" w:space="0" w:color="auto"/>
        <w:bottom w:val="none" w:sz="0" w:space="0" w:color="auto"/>
        <w:right w:val="none" w:sz="0" w:space="0" w:color="auto"/>
      </w:divBdr>
    </w:div>
    <w:div w:id="2075352484">
      <w:bodyDiv w:val="1"/>
      <w:marLeft w:val="0"/>
      <w:marRight w:val="0"/>
      <w:marTop w:val="0"/>
      <w:marBottom w:val="0"/>
      <w:divBdr>
        <w:top w:val="none" w:sz="0" w:space="0" w:color="auto"/>
        <w:left w:val="none" w:sz="0" w:space="0" w:color="auto"/>
        <w:bottom w:val="none" w:sz="0" w:space="0" w:color="auto"/>
        <w:right w:val="none" w:sz="0" w:space="0" w:color="auto"/>
      </w:divBdr>
    </w:div>
    <w:div w:id="213308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eedomhouse.org/country/eastern-donbas/freedom-world/2024" TargetMode="External"/><Relationship Id="rId18" Type="http://schemas.openxmlformats.org/officeDocument/2006/relationships/hyperlink" Target="https://zmina.ua/wp-content/uploads/sites/2/2022/12/zvit_zmina_eng-1.pdf" TargetMode="External"/><Relationship Id="rId26" Type="http://schemas.openxmlformats.org/officeDocument/2006/relationships/hyperlink" Target="https://kyivindependent.com/sbu-charges-ex-mp-muraiev-with-treason/" TargetMode="External"/><Relationship Id="rId39" Type="http://schemas.openxmlformats.org/officeDocument/2006/relationships/header" Target="header2.xml"/><Relationship Id="rId21" Type="http://schemas.openxmlformats.org/officeDocument/2006/relationships/hyperlink" Target="https://khpg.org/en/1608814386" TargetMode="External"/><Relationship Id="rId34" Type="http://schemas.openxmlformats.org/officeDocument/2006/relationships/hyperlink" Target="https://zakon.rada.gov.ua/laws/show/en/2341-14?lang=uk" TargetMode="External"/><Relationship Id="rId42" Type="http://schemas.openxmlformats.org/officeDocument/2006/relationships/glossaryDocument" Target="glossary/document.xml"/><Relationship Id="rId47"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rw.org/world-report/2025/country-chapters/ukraine" TargetMode="External"/><Relationship Id="rId29" Type="http://schemas.openxmlformats.org/officeDocument/2006/relationships/hyperlink" Target="https://rsf.org/en/ukraine-rsf-alarmed-series-attempts-intimidate-investigative-journalis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domhouse.org/country/ukraine/freedom-world/2024" TargetMode="External"/><Relationship Id="rId24" Type="http://schemas.openxmlformats.org/officeDocument/2006/relationships/hyperlink" Target="https://khpg.org/en/1608808757" TargetMode="External"/><Relationship Id="rId32" Type="http://schemas.openxmlformats.org/officeDocument/2006/relationships/hyperlink" Target="https://zakon.rada.gov.ua/laws/show/4651-17" TargetMode="External"/><Relationship Id="rId37" Type="http://schemas.openxmlformats.org/officeDocument/2006/relationships/hyperlink" Target="https://www.state.gov/wp-content/uploads/2024/03/528267-UKRAINE-2023-HUMAN-RIGHTS-REPORT.pdf" TargetMode="External"/><Relationship Id="rId40" Type="http://schemas.openxmlformats.org/officeDocument/2006/relationships/footer" Target="footer1.xm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lexology.com/library/detail.aspx?g=83d10eb2-cede-4417-9a3f-9a535949585f" TargetMode="External"/><Relationship Id="rId23" Type="http://schemas.openxmlformats.org/officeDocument/2006/relationships/hyperlink" Target="https://khpg.org/en/1608808760" TargetMode="External"/><Relationship Id="rId28" Type="http://schemas.openxmlformats.org/officeDocument/2006/relationships/hyperlink" Target="https://maatieto.migri.fi/base/2724d19a-5460-485d-bff8-6cd8f75f86d5/countryDocument/c788871a-423e-4799-9ddf-786c8be9158e" TargetMode="External"/><Relationship Id="rId36" Type="http://schemas.openxmlformats.org/officeDocument/2006/relationships/hyperlink" Target="https://ukraine.un.org/sites/default/files/2024-10/2024-10-01%20OHCHR%2040th%20periodic%20report%20on%20Ukraine.pdf" TargetMode="External"/><Relationship Id="rId10" Type="http://schemas.openxmlformats.org/officeDocument/2006/relationships/hyperlink" Target="https://us.dk/media/t1ihlhsq/ukraine-mobilisation-2024-til-usdk.pdf" TargetMode="External"/><Relationship Id="rId19" Type="http://schemas.openxmlformats.org/officeDocument/2006/relationships/hyperlink" Target="https://imi.org.ua/en/monitorings/russia-commits-823-crimes-against-journalsits-and-the-media-in-ukraine-in-the-3-years-of-the-full-i66792" TargetMode="External"/><Relationship Id="rId31" Type="http://schemas.openxmlformats.org/officeDocument/2006/relationships/hyperlink" Target="https://zmina.ua/wp-content/uploads/sites/2/2023/10/colaboration_eng_web.pdf" TargetMode="Externa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cepa.org/article/whatever-happened-to-ukraines-pro-russians/" TargetMode="External"/><Relationship Id="rId14" Type="http://schemas.openxmlformats.org/officeDocument/2006/relationships/hyperlink" Target="https://freedomhouse.org/country/ukraine/freedom-net/2024" TargetMode="External"/><Relationship Id="rId22" Type="http://schemas.openxmlformats.org/officeDocument/2006/relationships/hyperlink" Target="https://khpg.org/en/1608813317" TargetMode="External"/><Relationship Id="rId27" Type="http://schemas.openxmlformats.org/officeDocument/2006/relationships/hyperlink" Target="https://maatieto.migri.fi/base/2724d19a-5460-485d-bff8-6cd8f75f86d5/countryDocument/bd0e9924-8390-487e-8391-b4a5a36fc224" TargetMode="External"/><Relationship Id="rId30" Type="http://schemas.openxmlformats.org/officeDocument/2006/relationships/hyperlink" Target="https://zmina.ua/wp-content/uploads/sites/2/2024/07/colaboratz_print_eng.pdf" TargetMode="External"/><Relationship Id="rId35" Type="http://schemas.openxmlformats.org/officeDocument/2006/relationships/hyperlink" Target="https://ukraine.ohchr.org/sites/default/files/2025-02/Human%20rights%203%20years%20into%20Russia%27s%20full-scale%20invasion%20of%20Ukraine_factsheet%20%28ENG%29.pdf" TargetMode="External"/><Relationship Id="rId43" Type="http://schemas.openxmlformats.org/officeDocument/2006/relationships/theme" Target="theme/theme1.xml"/><Relationship Id="rId48" Type="http://schemas.openxmlformats.org/officeDocument/2006/relationships/customXml" Target="../customXml/item6.xml"/><Relationship Id="rId8" Type="http://schemas.openxmlformats.org/officeDocument/2006/relationships/hyperlink" Target="https://www.amnesty.org/en/documents/pol10/7200/2024/en/" TargetMode="External"/><Relationship Id="rId3" Type="http://schemas.openxmlformats.org/officeDocument/2006/relationships/styles" Target="styles.xml"/><Relationship Id="rId12" Type="http://schemas.openxmlformats.org/officeDocument/2006/relationships/hyperlink" Target="https://freedomhouse.org/country/crimea/freedom-world/2024" TargetMode="External"/><Relationship Id="rId17" Type="http://schemas.openxmlformats.org/officeDocument/2006/relationships/hyperlink" Target="https://www.hrw.org/report/2024/12/05/all-she-did-was-help-people/flawed-anti-collaboration-legislation-ukraine" TargetMode="External"/><Relationship Id="rId25" Type="http://schemas.openxmlformats.org/officeDocument/2006/relationships/hyperlink" Target="https://kyivindependent.com/ex-mp-of-banned-pro-russian-party-charged-with-treason/" TargetMode="External"/><Relationship Id="rId33" Type="http://schemas.openxmlformats.org/officeDocument/2006/relationships/hyperlink" Target="https://rm.coe.int/constitution-of-ukraine/168071f58b" TargetMode="External"/><Relationship Id="rId38" Type="http://schemas.openxmlformats.org/officeDocument/2006/relationships/header" Target="header1.xml"/><Relationship Id="rId46" Type="http://schemas.openxmlformats.org/officeDocument/2006/relationships/customXml" Target="../customXml/item4.xml"/><Relationship Id="rId20" Type="http://schemas.openxmlformats.org/officeDocument/2006/relationships/hyperlink" Target="https://imi.org.ua/en/monitorings/freedom-of-speech-in-ukraine-2024-summarised-268-violations-most-committed-by-russia-i66035" TargetMode="External"/><Relationship Id="rId4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CC0ECD386443739B4C4DED58AC8823"/>
        <w:category>
          <w:name w:val="General"/>
          <w:gallery w:val="placeholder"/>
        </w:category>
        <w:types>
          <w:type w:val="bbPlcHdr"/>
        </w:types>
        <w:behaviors>
          <w:behavior w:val="content"/>
        </w:behaviors>
        <w:guid w:val="{41D802F1-0F14-4D69-B95E-9D019ABC0937}"/>
      </w:docPartPr>
      <w:docPartBody>
        <w:p w:rsidR="003061D0" w:rsidRDefault="003061D0">
          <w:pPr>
            <w:pStyle w:val="ACCC0ECD386443739B4C4DED58AC8823"/>
          </w:pPr>
          <w:r w:rsidRPr="00AA10D2">
            <w:rPr>
              <w:rStyle w:val="PlaceholderText"/>
            </w:rPr>
            <w:t>Kirjoita tekstiä napsauttamalla tai napauttamalla tätä.</w:t>
          </w:r>
        </w:p>
      </w:docPartBody>
    </w:docPart>
    <w:docPart>
      <w:docPartPr>
        <w:name w:val="687093FE079243E5A538391F9272F342"/>
        <w:category>
          <w:name w:val="General"/>
          <w:gallery w:val="placeholder"/>
        </w:category>
        <w:types>
          <w:type w:val="bbPlcHdr"/>
        </w:types>
        <w:behaviors>
          <w:behavior w:val="content"/>
        </w:behaviors>
        <w:guid w:val="{7EDC41BB-2B57-4469-90C0-4DDC3575206B}"/>
      </w:docPartPr>
      <w:docPartBody>
        <w:p w:rsidR="003061D0" w:rsidRDefault="003061D0">
          <w:pPr>
            <w:pStyle w:val="687093FE079243E5A538391F9272F342"/>
          </w:pPr>
          <w:r w:rsidRPr="00AA10D2">
            <w:rPr>
              <w:rStyle w:val="PlaceholderText"/>
            </w:rPr>
            <w:t>Kirjoita tekstiä napsauttamalla tai napauttamalla tätä.</w:t>
          </w:r>
        </w:p>
      </w:docPartBody>
    </w:docPart>
    <w:docPart>
      <w:docPartPr>
        <w:name w:val="210FAB1CE4804756836A06073676F50E"/>
        <w:category>
          <w:name w:val="General"/>
          <w:gallery w:val="placeholder"/>
        </w:category>
        <w:types>
          <w:type w:val="bbPlcHdr"/>
        </w:types>
        <w:behaviors>
          <w:behavior w:val="content"/>
        </w:behaviors>
        <w:guid w:val="{BAA59F2A-94D1-424A-BB53-B8F9937E095E}"/>
      </w:docPartPr>
      <w:docPartBody>
        <w:p w:rsidR="003061D0" w:rsidRDefault="003061D0">
          <w:pPr>
            <w:pStyle w:val="210FAB1CE4804756836A06073676F50E"/>
          </w:pPr>
          <w:r w:rsidRPr="00810134">
            <w:rPr>
              <w:rStyle w:val="PlaceholderText"/>
              <w:lang w:val="en-GB"/>
            </w:rPr>
            <w:t>.</w:t>
          </w:r>
        </w:p>
      </w:docPartBody>
    </w:docPart>
    <w:docPart>
      <w:docPartPr>
        <w:name w:val="C804E2016CEA42DD896EE883179C83F4"/>
        <w:category>
          <w:name w:val="General"/>
          <w:gallery w:val="placeholder"/>
        </w:category>
        <w:types>
          <w:type w:val="bbPlcHdr"/>
        </w:types>
        <w:behaviors>
          <w:behavior w:val="content"/>
        </w:behaviors>
        <w:guid w:val="{8260FFA8-C69C-4B2B-8187-ADB9E64F564E}"/>
      </w:docPartPr>
      <w:docPartBody>
        <w:p w:rsidR="003061D0" w:rsidRDefault="003061D0">
          <w:pPr>
            <w:pStyle w:val="C804E2016CEA42DD896EE883179C83F4"/>
          </w:pPr>
          <w:r w:rsidRPr="00AA10D2">
            <w:rPr>
              <w:rStyle w:val="PlaceholderText"/>
            </w:rPr>
            <w:t>Kirjoita tekstiä napsauttamalla tai napauttamalla tätä.</w:t>
          </w:r>
        </w:p>
      </w:docPartBody>
    </w:docPart>
    <w:docPart>
      <w:docPartPr>
        <w:name w:val="10100472A0024FDCA63F97E38AE423E7"/>
        <w:category>
          <w:name w:val="General"/>
          <w:gallery w:val="placeholder"/>
        </w:category>
        <w:types>
          <w:type w:val="bbPlcHdr"/>
        </w:types>
        <w:behaviors>
          <w:behavior w:val="content"/>
        </w:behaviors>
        <w:guid w:val="{BBE303D9-42A2-44EF-8CF7-2499CB502CDC}"/>
      </w:docPartPr>
      <w:docPartBody>
        <w:p w:rsidR="003061D0" w:rsidRDefault="003061D0">
          <w:pPr>
            <w:pStyle w:val="10100472A0024FDCA63F97E38AE423E7"/>
          </w:pPr>
          <w:r w:rsidRPr="00AA10D2">
            <w:rPr>
              <w:rStyle w:val="PlaceholderText"/>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D0"/>
    <w:rsid w:val="003061D0"/>
    <w:rsid w:val="00466B03"/>
    <w:rsid w:val="004B2424"/>
    <w:rsid w:val="006377BF"/>
    <w:rsid w:val="00742038"/>
    <w:rsid w:val="00B119C5"/>
    <w:rsid w:val="00CE5F2B"/>
    <w:rsid w:val="00D2497C"/>
    <w:rsid w:val="00E2019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CCC0ECD386443739B4C4DED58AC8823">
    <w:name w:val="ACCC0ECD386443739B4C4DED58AC8823"/>
  </w:style>
  <w:style w:type="paragraph" w:customStyle="1" w:styleId="687093FE079243E5A538391F9272F342">
    <w:name w:val="687093FE079243E5A538391F9272F342"/>
  </w:style>
  <w:style w:type="paragraph" w:customStyle="1" w:styleId="210FAB1CE4804756836A06073676F50E">
    <w:name w:val="210FAB1CE4804756836A06073676F50E"/>
  </w:style>
  <w:style w:type="paragraph" w:customStyle="1" w:styleId="C804E2016CEA42DD896EE883179C83F4">
    <w:name w:val="C804E2016CEA42DD896EE883179C83F4"/>
  </w:style>
  <w:style w:type="paragraph" w:customStyle="1" w:styleId="10100472A0024FDCA63F97E38AE423E7">
    <w:name w:val="10100472A0024FDCA63F97E38AE423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RUSSIA,UKRAINE,OFFENSIVE WAR,GOVERNMENT POLICY,NATIONAL SECURITY,RESTRICTIONS,CIVIL AND POLITICAL RIGHTS,ICCPR66,MEDIA,JOURNALISTS,PRESS,FREEDOM OF SPEECH,INTERNET,CYBER ATTACKS,CYBER SECURITY,INFRINGEMENTS,LOCAL ADMINISTRATION,LAW ENFORCEMENT,JUDICIARY</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Ukraine</TermName>
          <TermId xmlns="http://schemas.microsoft.com/office/infopath/2007/PartnerControls">01cf4032-609f-41ad-8875-2b13812a2f94</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2025-03-20T23:00:00+00:00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116</Value>
      <Value>1</Value>
      <Value>49</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109</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Ukraina / Sanan- ja ilmaisunvapauden tilanne
Ukraine / The situation with freedom of speech and expression
Kysymykset
1. Miten Ukrainan sanan- ja ilmaisunvapauden tilanne on kehittynyt Venäjän 2022 hyökkäyssodan alkamisen jälkeen?
2. Onko henkilöitä syytetty, tuomittu tai muuten rangaistu julkisuudessa esittämiensä Venäjä-mielisten tai Ukrainan hallintoa kritisoivien mielipiteiden johdosta?
Questions
1. How has the situation of freedom of speech and expression in Ukraine evolved since the beginning of Russia's war of aggression in 2022?
2. Have any individuals been charged, convicted or otherwise punished for publicly expressing pro-Russian opinions or opinions critical of the Ukrainian regime?
Miten Ukrainan sanan- ja ilmaisunvapauden tilanne on kehittynyt Venäjän 2022 hyökkäyssodan alkamisen jälkeen?
Ukrainan perustuslaki takaa sanan- ja ilmaisunvapauden ja kieltää sensuurin.[footnoteRef:1] Sananvapautta voidaan rajoittaa kansallisen turvallisuuden</COIDocAbstract>
    <COIWSGroundsRejection xmlns="b5be3156-7e14-46bc-bfca-5c242eb3de3f" xsi:nil="true"/>
    <COIDocAuthors xmlns="e235e197-502c-49f1-8696-39d199cd5131">
      <Value>143</Value>
    </COIDocAuthors>
    <COIDocID xmlns="b5be3156-7e14-46bc-bfca-5c242eb3de3f">821</COIDocID>
    <_dlc_DocId xmlns="e235e197-502c-49f1-8696-39d199cd5131">FI011-215589946-12402</_dlc_DocId>
    <_dlc_DocIdUrl xmlns="e235e197-502c-49f1-8696-39d199cd5131">
      <Url>https://coiadmin.euaa.europa.eu/administration/finland/_layouts/15/DocIdRedir.aspx?ID=FI011-215589946-12402</Url>
      <Description>FI011-215589946-12402</Description>
    </_dlc_DocIdUrl>
  </documentManagement>
</p:properties>
</file>

<file path=customXml/itemProps1.xml><?xml version="1.0" encoding="utf-8"?>
<ds:datastoreItem xmlns:ds="http://schemas.openxmlformats.org/officeDocument/2006/customXml" ds:itemID="{34C82913-EA32-4CAB-888D-7A99DD638361}">
  <ds:schemaRefs>
    <ds:schemaRef ds:uri="http://schemas.openxmlformats.org/officeDocument/2006/bibliography"/>
  </ds:schemaRefs>
</ds:datastoreItem>
</file>

<file path=customXml/itemProps2.xml><?xml version="1.0" encoding="utf-8"?>
<ds:datastoreItem xmlns:ds="http://schemas.openxmlformats.org/officeDocument/2006/customXml" ds:itemID="{C7BC0F36-3EBC-4DBA-9F6E-86D910DEA334}"/>
</file>

<file path=customXml/itemProps3.xml><?xml version="1.0" encoding="utf-8"?>
<ds:datastoreItem xmlns:ds="http://schemas.openxmlformats.org/officeDocument/2006/customXml" ds:itemID="{F5408083-756E-4D2A-8D2F-712F7931B699}"/>
</file>

<file path=customXml/itemProps4.xml><?xml version="1.0" encoding="utf-8"?>
<ds:datastoreItem xmlns:ds="http://schemas.openxmlformats.org/officeDocument/2006/customXml" ds:itemID="{ACFF3D32-4846-4B2D-A75E-EFA325390C65}"/>
</file>

<file path=customXml/itemProps5.xml><?xml version="1.0" encoding="utf-8"?>
<ds:datastoreItem xmlns:ds="http://schemas.openxmlformats.org/officeDocument/2006/customXml" ds:itemID="{36F144E5-2C0D-4FF0-B91B-AB65FF58DF45}"/>
</file>

<file path=customXml/itemProps6.xml><?xml version="1.0" encoding="utf-8"?>
<ds:datastoreItem xmlns:ds="http://schemas.openxmlformats.org/officeDocument/2006/customXml" ds:itemID="{B80630EB-602A-4944-9AE2-826E749E5B68}"/>
</file>

<file path=docProps/app.xml><?xml version="1.0" encoding="utf-8"?>
<Properties xmlns="http://schemas.openxmlformats.org/officeDocument/2006/extended-properties" xmlns:vt="http://schemas.openxmlformats.org/officeDocument/2006/docPropsVTypes">
  <Template>Normal</Template>
  <TotalTime>0</TotalTime>
  <Pages>15</Pages>
  <Words>5165</Words>
  <Characters>41845</Characters>
  <Application>Microsoft Office Word</Application>
  <DocSecurity>0</DocSecurity>
  <Lines>348</Lines>
  <Paragraphs>93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LinksUpToDate>false</LinksUpToDate>
  <CharactersWithSpaces>46917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Ukraina / Sanan- ja ilmaisunvapauden tilanne // Ukraine / The situation with freedom of speech and expression</dc:title>
  <dc:subject/>
  <dc:creator/>
  <cp:keywords/>
  <cp:lastModifiedBy/>
  <cp:revision>1</cp:revision>
  <dcterms:created xsi:type="dcterms:W3CDTF">2025-03-21T10:42:00Z</dcterms:created>
  <dcterms:modified xsi:type="dcterms:W3CDTF">2025-03-21T10:42:00Z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2fea0989-0d8b-461e-9d87-544d3442a8e4</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49;#Ukraine|01cf4032-609f-41ad-8875-2b13812a2f94</vt:lpwstr>
  </property>
  <property fmtid="{D5CDD505-2E9C-101B-9397-08002B2CF9AE}" pid="9" name="COIInformTypeMM">
    <vt:lpwstr>4;#Response to COI Query|74af11f0-82c2-4825-bd8f-d6b1cac3a3aa</vt:lpwstr>
  </property>
</Properties>
</file>