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9E8CD"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75E4AA21"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605FB3E4" w14:textId="3020D3CE" w:rsidR="00800AA9" w:rsidRPr="00800AA9" w:rsidRDefault="00800AA9" w:rsidP="00C348A3">
      <w:pPr>
        <w:spacing w:before="0" w:after="0"/>
      </w:pPr>
      <w:r w:rsidRPr="00BB7F45">
        <w:rPr>
          <w:b/>
        </w:rPr>
        <w:t>Asiakirjan tunnus:</w:t>
      </w:r>
      <w:r>
        <w:t xml:space="preserve"> KT</w:t>
      </w:r>
      <w:r w:rsidR="00A52A13">
        <w:t>1425</w:t>
      </w:r>
    </w:p>
    <w:p w14:paraId="52850E10" w14:textId="5E44113B" w:rsidR="00800AA9" w:rsidRDefault="00800AA9" w:rsidP="00C348A3">
      <w:pPr>
        <w:spacing w:before="0" w:after="0"/>
      </w:pPr>
      <w:r w:rsidRPr="00BB7F45">
        <w:rPr>
          <w:b/>
        </w:rPr>
        <w:t>Päivämäärä</w:t>
      </w:r>
      <w:r>
        <w:t xml:space="preserve">: </w:t>
      </w:r>
      <w:r w:rsidR="00A52A13">
        <w:t>8</w:t>
      </w:r>
      <w:r w:rsidR="00810134">
        <w:t>.</w:t>
      </w:r>
      <w:r w:rsidR="00A52A13">
        <w:t>10</w:t>
      </w:r>
      <w:r w:rsidR="00810134">
        <w:t>.</w:t>
      </w:r>
      <w:r w:rsidR="00A52A13">
        <w:t>2026</w:t>
      </w:r>
    </w:p>
    <w:p w14:paraId="55796CA7" w14:textId="3319388B"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2E4A31A3" w14:textId="77777777" w:rsidR="00800AA9" w:rsidRPr="00633BBD" w:rsidRDefault="002D1AEB" w:rsidP="00800AA9">
      <w:pPr>
        <w:rPr>
          <w:rStyle w:val="Otsikko1Char"/>
          <w:b w:val="0"/>
          <w:sz w:val="20"/>
          <w:szCs w:val="20"/>
        </w:rPr>
      </w:pPr>
      <w:r>
        <w:rPr>
          <w:b/>
        </w:rPr>
        <w:pict w14:anchorId="0F61C829">
          <v:rect id="_x0000_i1025" style="width:0;height:1.5pt" o:hralign="center" o:hrstd="t" o:hr="t" fillcolor="#a0a0a0" stroked="f"/>
        </w:pict>
      </w:r>
    </w:p>
    <w:p w14:paraId="6F5F146D" w14:textId="742A7984" w:rsidR="008020E6" w:rsidRPr="00543F66" w:rsidRDefault="002D1AEB"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5BD2780EEC9940C09F4D09452660EB92"/>
          </w:placeholder>
          <w:text/>
        </w:sdtPr>
        <w:sdtEndPr>
          <w:rPr>
            <w:rStyle w:val="Otsikko1Char"/>
          </w:rPr>
        </w:sdtEndPr>
        <w:sdtContent>
          <w:r w:rsidR="00A52A13" w:rsidRPr="00A52A13">
            <w:rPr>
              <w:rStyle w:val="Otsikko1Char"/>
              <w:rFonts w:cs="Times New Roman"/>
              <w:b/>
              <w:szCs w:val="24"/>
            </w:rPr>
            <w:t>Kirgisistan / Viranomaissuojelun saatavuus, islamista luopuneiden tilanne</w:t>
          </w:r>
          <w:r w:rsidR="00AA00F5">
            <w:rPr>
              <w:rStyle w:val="Otsikko1Char"/>
              <w:rFonts w:cs="Times New Roman"/>
              <w:b/>
              <w:szCs w:val="24"/>
            </w:rPr>
            <w:t xml:space="preserve">, </w:t>
          </w:r>
          <w:r w:rsidR="00A52A13" w:rsidRPr="00A52A13">
            <w:rPr>
              <w:rStyle w:val="Otsikko1Char"/>
              <w:rFonts w:cs="Times New Roman"/>
              <w:b/>
              <w:szCs w:val="24"/>
            </w:rPr>
            <w:t>terveydenhuolto</w:t>
          </w:r>
        </w:sdtContent>
      </w:sdt>
    </w:p>
    <w:sdt>
      <w:sdtPr>
        <w:rPr>
          <w:rStyle w:val="Otsikko1Char"/>
          <w:rFonts w:cs="Times New Roman"/>
          <w:b/>
          <w:szCs w:val="24"/>
          <w:lang w:val="en-US"/>
        </w:rPr>
        <w:alias w:val="Country / Title in English"/>
        <w:tag w:val="Country / Title in English"/>
        <w:id w:val="2146699517"/>
        <w:lock w:val="sdtLocked"/>
        <w:placeholder>
          <w:docPart w:val="2027734F2C8447F9BD9D38C7CDD5031D"/>
        </w:placeholder>
        <w:text/>
      </w:sdtPr>
      <w:sdtEndPr>
        <w:rPr>
          <w:rStyle w:val="Otsikko1Char"/>
        </w:rPr>
      </w:sdtEndPr>
      <w:sdtContent>
        <w:p w14:paraId="2D9F8E1D" w14:textId="35386036" w:rsidR="00082DFE" w:rsidRPr="00AA00F5" w:rsidRDefault="00AA00F5" w:rsidP="00543F66">
          <w:pPr>
            <w:pStyle w:val="POTSIKKO"/>
            <w:rPr>
              <w:lang w:val="en-US"/>
            </w:rPr>
          </w:pPr>
          <w:r w:rsidRPr="00AA00F5">
            <w:rPr>
              <w:rStyle w:val="Otsikko1Char"/>
              <w:rFonts w:cs="Times New Roman"/>
              <w:b/>
              <w:szCs w:val="24"/>
              <w:lang w:val="en-US"/>
            </w:rPr>
            <w:t>Kyrgyzstan / Access to gov</w:t>
          </w:r>
          <w:r>
            <w:rPr>
              <w:rStyle w:val="Otsikko1Char"/>
              <w:rFonts w:cs="Times New Roman"/>
              <w:b/>
              <w:szCs w:val="24"/>
              <w:lang w:val="en-US"/>
            </w:rPr>
            <w:t xml:space="preserve">ernment protection, the situation of those who have renounced </w:t>
          </w:r>
          <w:r w:rsidR="005030A0">
            <w:rPr>
              <w:rStyle w:val="Otsikko1Char"/>
              <w:rFonts w:cs="Times New Roman"/>
              <w:b/>
              <w:szCs w:val="24"/>
              <w:lang w:val="en-US"/>
            </w:rPr>
            <w:t>Islam</w:t>
          </w:r>
          <w:r>
            <w:rPr>
              <w:rStyle w:val="Otsikko1Char"/>
              <w:rFonts w:cs="Times New Roman"/>
              <w:b/>
              <w:szCs w:val="24"/>
              <w:lang w:val="en-US"/>
            </w:rPr>
            <w:t>, health care</w:t>
          </w:r>
        </w:p>
      </w:sdtContent>
    </w:sdt>
    <w:p w14:paraId="5D1BB365" w14:textId="77777777" w:rsidR="00082DFE" w:rsidRDefault="002D1AEB" w:rsidP="00082DFE">
      <w:pPr>
        <w:rPr>
          <w:b/>
        </w:rPr>
      </w:pPr>
      <w:r>
        <w:rPr>
          <w:b/>
        </w:rPr>
        <w:pict w14:anchorId="35488458">
          <v:rect id="_x0000_i1026" style="width:0;height:1.5pt" o:hralign="center" o:hrstd="t" o:hr="t" fillcolor="#a0a0a0" stroked="f"/>
        </w:pict>
      </w:r>
    </w:p>
    <w:p w14:paraId="0ABE00C3"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6A70521CE7FB44B38F28F17895F91C3A"/>
        </w:placeholder>
      </w:sdtPr>
      <w:sdtEndPr>
        <w:rPr>
          <w:rStyle w:val="Kappaleenoletusfontti"/>
          <w:color w:val="404040" w:themeColor="text1" w:themeTint="BF"/>
        </w:rPr>
      </w:sdtEndPr>
      <w:sdtContent>
        <w:sdt>
          <w:sdtPr>
            <w:rPr>
              <w:rStyle w:val="KysymyksetChar"/>
              <w:lang w:val="en-US"/>
            </w:rPr>
            <w:alias w:val="Questions"/>
            <w:tag w:val="Fill in the questions here"/>
            <w:id w:val="353243802"/>
            <w:placeholder>
              <w:docPart w:val="B8B6F460F9CA412A92C0F6F373526F9D"/>
            </w:placeholder>
            <w:text w:multiLine="1"/>
          </w:sdtPr>
          <w:sdtEndPr>
            <w:rPr>
              <w:rStyle w:val="KysymyksetChar"/>
            </w:rPr>
          </w:sdtEndPr>
          <w:sdtContent>
            <w:p w14:paraId="362FEEDD" w14:textId="306AB512" w:rsidR="00810134" w:rsidRPr="008E1879" w:rsidRDefault="00312E6D" w:rsidP="001678AD">
              <w:pPr>
                <w:pStyle w:val="Lainaus"/>
                <w:ind w:left="0"/>
                <w:jc w:val="left"/>
                <w:rPr>
                  <w:i w:val="0"/>
                  <w:iCs w:val="0"/>
                  <w:color w:val="000000" w:themeColor="text1"/>
                  <w:lang w:val="en-US"/>
                </w:rPr>
              </w:pPr>
              <w:r w:rsidRPr="002D1AEB">
                <w:rPr>
                  <w:rStyle w:val="KysymyksetChar"/>
                  <w:lang w:val="en-US"/>
                </w:rPr>
                <w:t xml:space="preserve">1. Tiivis kuvaus viranomaissuojelun </w:t>
              </w:r>
              <w:r w:rsidR="0043351F" w:rsidRPr="002D1AEB">
                <w:rPr>
                  <w:rStyle w:val="KysymyksetChar"/>
                  <w:lang w:val="en-US"/>
                </w:rPr>
                <w:t>saatavuudesta</w:t>
              </w:r>
              <w:r w:rsidRPr="002D1AEB">
                <w:rPr>
                  <w:rStyle w:val="KysymyksetChar"/>
                  <w:lang w:val="en-US"/>
                </w:rPr>
                <w:t xml:space="preserve"> ja mahdollisuudesta saada oikeudenmukainen oikeudenkäynti tuomioistuimissa</w:t>
              </w:r>
              <w:r w:rsidRPr="002D1AEB">
                <w:rPr>
                  <w:rStyle w:val="KysymyksetChar"/>
                  <w:lang w:val="en-US"/>
                </w:rPr>
                <w:br/>
              </w:r>
              <w:r w:rsidRPr="002D1AEB">
                <w:rPr>
                  <w:rStyle w:val="KysymyksetChar"/>
                  <w:lang w:val="en-US"/>
                </w:rPr>
                <w:br/>
                <w:t>2. Millainen on islamista luopuneiden tilanne? Onko raportoitu oikeudenloukkauksista tästä syystä viime vuosina?</w:t>
              </w:r>
              <w:r w:rsidRPr="002D1AEB">
                <w:rPr>
                  <w:rStyle w:val="KysymyksetChar"/>
                  <w:lang w:val="en-US"/>
                </w:rPr>
                <w:br/>
              </w:r>
              <w:r w:rsidRPr="002D1AEB">
                <w:rPr>
                  <w:rStyle w:val="KysymyksetChar"/>
                  <w:lang w:val="en-US"/>
                </w:rPr>
                <w:br/>
                <w:t>3. Tiivis kuvaus Kirgisistanin terveydenhuollon tilanteesta</w:t>
              </w:r>
            </w:p>
          </w:sdtContent>
        </w:sdt>
      </w:sdtContent>
    </w:sdt>
    <w:p w14:paraId="67EB6CB3" w14:textId="77777777" w:rsidR="00082DFE" w:rsidRPr="008E1879" w:rsidRDefault="00082DFE" w:rsidP="00C348A3">
      <w:pPr>
        <w:pStyle w:val="Numeroimatonotsikko"/>
        <w:rPr>
          <w:lang w:val="en-US"/>
        </w:rPr>
      </w:pPr>
      <w:r w:rsidRPr="008E1879">
        <w:rPr>
          <w:lang w:val="en-US"/>
        </w:rPr>
        <w:t>Questions</w:t>
      </w:r>
    </w:p>
    <w:sdt>
      <w:sdtPr>
        <w:rPr>
          <w:rStyle w:val="KysymyksetChar"/>
          <w:lang w:val="en-US"/>
        </w:rPr>
        <w:alias w:val="Questions"/>
        <w:tag w:val="Fill in the questions here"/>
        <w:id w:val="-849104524"/>
        <w:lock w:val="sdtLocked"/>
        <w:placeholder>
          <w:docPart w:val="C8696125A419406A87A932F31E3E94B0"/>
        </w:placeholder>
        <w:text w:multiLine="1"/>
      </w:sdtPr>
      <w:sdtEndPr>
        <w:rPr>
          <w:rStyle w:val="KysymyksetChar"/>
        </w:rPr>
      </w:sdtEndPr>
      <w:sdtContent>
        <w:p w14:paraId="4DB5F5C1" w14:textId="0D2FCEDE" w:rsidR="00082DFE" w:rsidRPr="00312E6D" w:rsidRDefault="00312E6D" w:rsidP="003C5382">
          <w:pPr>
            <w:pStyle w:val="Lainaus"/>
            <w:ind w:left="0"/>
            <w:jc w:val="left"/>
            <w:rPr>
              <w:rStyle w:val="KysymyksetChar"/>
              <w:lang w:val="en-US"/>
            </w:rPr>
          </w:pPr>
          <w:r w:rsidRPr="00312E6D">
            <w:rPr>
              <w:rStyle w:val="KysymyksetChar"/>
              <w:lang w:val="en-US"/>
            </w:rPr>
            <w:t>1. A brief summary of a</w:t>
          </w:r>
          <w:r>
            <w:rPr>
              <w:rStyle w:val="KysymyksetChar"/>
              <w:lang w:val="en-US"/>
            </w:rPr>
            <w:t>ccess to government protection and the possibility of receiving a fair trial in court</w:t>
          </w:r>
          <w:r>
            <w:rPr>
              <w:rStyle w:val="KysymyksetChar"/>
              <w:lang w:val="en-US"/>
            </w:rPr>
            <w:br/>
            <w:t>2. What is the situation for those who have renounced Islam? Have there been reports of rights violations for this reason in recent years?</w:t>
          </w:r>
          <w:r>
            <w:rPr>
              <w:rStyle w:val="KysymyksetChar"/>
              <w:lang w:val="en-US"/>
            </w:rPr>
            <w:br/>
            <w:t xml:space="preserve">3. A brief summary of the state of healthcare in Kyrgyzstan </w:t>
          </w:r>
        </w:p>
      </w:sdtContent>
    </w:sdt>
    <w:p w14:paraId="58A1C813" w14:textId="77777777" w:rsidR="00082DFE" w:rsidRPr="00082DFE" w:rsidRDefault="002D1AEB" w:rsidP="00082DFE">
      <w:pPr>
        <w:pStyle w:val="LeiptekstiMigri"/>
        <w:ind w:left="0"/>
        <w:rPr>
          <w:lang w:val="en-GB"/>
        </w:rPr>
      </w:pPr>
      <w:r>
        <w:rPr>
          <w:b/>
        </w:rPr>
        <w:pict w14:anchorId="3A09E754">
          <v:rect id="_x0000_i1027" style="width:0;height:1.5pt" o:hralign="center" o:hrstd="t" o:hr="t" fillcolor="#a0a0a0" stroked="f"/>
        </w:pict>
      </w:r>
    </w:p>
    <w:p w14:paraId="51856E5F" w14:textId="00590ECE" w:rsidR="00543F66" w:rsidRDefault="00A52A13" w:rsidP="00543F66">
      <w:pPr>
        <w:pStyle w:val="Otsikko1"/>
      </w:pPr>
      <w:bookmarkStart w:id="0" w:name="_Hlk241833075"/>
      <w:bookmarkStart w:id="1" w:name="_Hlk129259295"/>
      <w:r w:rsidRPr="00A52A13">
        <w:t xml:space="preserve">Tiivis kuvaus viranomaissuojelun </w:t>
      </w:r>
      <w:r w:rsidR="0043351F">
        <w:t>saatavuudesta</w:t>
      </w:r>
      <w:r w:rsidRPr="00A52A13">
        <w:t xml:space="preserve"> ja mahdollisuudesta saada oikeudenmukainen oikeudenkäynti tuomioistuimissa</w:t>
      </w:r>
    </w:p>
    <w:p w14:paraId="12FCE5B3" w14:textId="65AA89D6" w:rsidR="005030A0" w:rsidRDefault="005030A0" w:rsidP="005030A0">
      <w:pPr>
        <w:pStyle w:val="Numeroimatonotsikko"/>
      </w:pPr>
      <w:r>
        <w:t>Yleinen ti</w:t>
      </w:r>
      <w:r w:rsidR="0043351F">
        <w:t>l</w:t>
      </w:r>
      <w:r>
        <w:t>anne</w:t>
      </w:r>
    </w:p>
    <w:p w14:paraId="51885956" w14:textId="645F3C5E" w:rsidR="00D35600" w:rsidRDefault="00312E6D" w:rsidP="00D35600">
      <w:r>
        <w:t>Kirgisistanin</w:t>
      </w:r>
      <w:r w:rsidR="00D35600" w:rsidRPr="003C650A">
        <w:t xml:space="preserve"> hallinto on vuodesta 2021 lähtien presidentti Sadyr Žaparovin </w:t>
      </w:r>
      <w:r w:rsidR="00AA00F5" w:rsidRPr="003C650A">
        <w:t>valtaannousun</w:t>
      </w:r>
      <w:r w:rsidR="00D35600" w:rsidRPr="003C650A">
        <w:t xml:space="preserve"> myötä kehittynyt entistä autoritaarisempaan suuntaan. Kansalaisyhteiskunnan </w:t>
      </w:r>
      <w:r w:rsidR="009837E5">
        <w:t>toimintaa</w:t>
      </w:r>
      <w:r w:rsidR="00D35600" w:rsidRPr="003C650A">
        <w:t xml:space="preserve"> on </w:t>
      </w:r>
      <w:r w:rsidR="009837E5">
        <w:t>rajoitettu</w:t>
      </w:r>
      <w:r w:rsidR="00D35600" w:rsidRPr="003C650A">
        <w:t xml:space="preserve">, oikeusvaltioperiaatetta on laiminlyöty ja hallinnon avoimuus ja </w:t>
      </w:r>
      <w:r w:rsidR="009837E5">
        <w:t>vastuuvelvollisuus</w:t>
      </w:r>
      <w:r w:rsidR="00D35600" w:rsidRPr="003C650A">
        <w:t xml:space="preserve"> </w:t>
      </w:r>
      <w:r w:rsidR="00AA00F5" w:rsidRPr="003C650A">
        <w:t>ovat</w:t>
      </w:r>
      <w:r w:rsidR="00D35600" w:rsidRPr="003C650A">
        <w:t xml:space="preserve"> </w:t>
      </w:r>
      <w:r w:rsidR="00AA00F5" w:rsidRPr="003C650A">
        <w:t>vähentyneet</w:t>
      </w:r>
      <w:r w:rsidR="00D35600" w:rsidRPr="003C650A">
        <w:t xml:space="preserve">. Kansallisen turvallisuuden </w:t>
      </w:r>
      <w:r w:rsidR="00D35600" w:rsidRPr="000329AE">
        <w:t xml:space="preserve">valtiokomitean </w:t>
      </w:r>
      <w:r w:rsidR="000D1206" w:rsidRPr="000329AE">
        <w:t>(</w:t>
      </w:r>
      <w:r w:rsidR="00AA00F5" w:rsidRPr="000329AE">
        <w:t xml:space="preserve">eng. State Committee for National Security, </w:t>
      </w:r>
      <w:r w:rsidR="000D1206" w:rsidRPr="000329AE">
        <w:t xml:space="preserve">SCNS) </w:t>
      </w:r>
      <w:r w:rsidR="00D35600" w:rsidRPr="000329AE">
        <w:t xml:space="preserve">toimivalta ja vaikutusvalta ovat laajentuneet eri puolilla maata, </w:t>
      </w:r>
      <w:r w:rsidR="00D35600" w:rsidRPr="000329AE">
        <w:lastRenderedPageBreak/>
        <w:t xml:space="preserve">samalla kun sen rooli hallinnon kriitikoihin ja muihin vastustajiksi katsottuihin tahoihin kohdistuvissa sortotoimissa on vahvistunut. </w:t>
      </w:r>
      <w:r w:rsidR="000D1206" w:rsidRPr="000329AE">
        <w:t xml:space="preserve">SCNS:n kuvataan toimineen </w:t>
      </w:r>
      <w:r w:rsidR="00D35600" w:rsidRPr="000329AE">
        <w:t xml:space="preserve">yhä enemmän ilman valvontaa tai </w:t>
      </w:r>
      <w:r w:rsidR="009837E5">
        <w:t>vastuu</w:t>
      </w:r>
      <w:r w:rsidR="00D35600" w:rsidRPr="000329AE">
        <w:t>velvollisuutta</w:t>
      </w:r>
      <w:r w:rsidR="000D1206" w:rsidRPr="000329AE">
        <w:t>,</w:t>
      </w:r>
      <w:r w:rsidR="00D35600" w:rsidRPr="000329AE">
        <w:t xml:space="preserve"> ja sen toimintatapojen </w:t>
      </w:r>
      <w:r w:rsidR="000D1206" w:rsidRPr="000329AE">
        <w:t>kerrotaan</w:t>
      </w:r>
      <w:r w:rsidR="00D35600" w:rsidRPr="000329AE">
        <w:t xml:space="preserve"> heikentänee</w:t>
      </w:r>
      <w:r w:rsidR="009837E5">
        <w:t>n</w:t>
      </w:r>
      <w:r w:rsidR="00D35600" w:rsidRPr="000329AE">
        <w:t xml:space="preserve"> merkittävästi oikeusvaltioperiaatteen toteutumista. Helmikuussa 2026 presidentti Sadyr Žaparov erotti </w:t>
      </w:r>
      <w:r w:rsidR="000D1206" w:rsidRPr="000329AE">
        <w:t xml:space="preserve">SCNS:n </w:t>
      </w:r>
      <w:r w:rsidR="00D35600" w:rsidRPr="000329AE">
        <w:t>johtajan Kamtšybek Tašhijevin, mikä herätti toiveita viranomaisten suhtautumisen muuttumisesta kriittisiin ääniin. Kriitikoihin kohdistuneen painostuksen on kuitenkin raportoitu jatkuneen.</w:t>
      </w:r>
      <w:r w:rsidR="00D35600" w:rsidRPr="000329AE">
        <w:rPr>
          <w:rStyle w:val="Alaviitteenviite"/>
        </w:rPr>
        <w:footnoteReference w:id="1"/>
      </w:r>
    </w:p>
    <w:p w14:paraId="6E31B499" w14:textId="6738679B" w:rsidR="005030A0" w:rsidRPr="000329AE" w:rsidRDefault="005030A0" w:rsidP="005030A0">
      <w:pPr>
        <w:pStyle w:val="Numeroimatonotsikko"/>
      </w:pPr>
      <w:r>
        <w:t>Korruptio</w:t>
      </w:r>
    </w:p>
    <w:p w14:paraId="76D81CCB" w14:textId="7CCD16D1" w:rsidR="00D35600" w:rsidRDefault="00D35600" w:rsidP="00D35600">
      <w:r w:rsidRPr="000329AE">
        <w:t xml:space="preserve">Korruption kuvaillaan olevan </w:t>
      </w:r>
      <w:r w:rsidR="00312E6D" w:rsidRPr="000329AE">
        <w:t>Kirgisistanissa</w:t>
      </w:r>
      <w:r w:rsidRPr="000329AE">
        <w:t xml:space="preserve"> yleistä ja laajalle levinnyttä politiikassa ja valtionhallinnossa.</w:t>
      </w:r>
      <w:r w:rsidRPr="000329AE">
        <w:rPr>
          <w:rStyle w:val="Alaviitteenviite"/>
        </w:rPr>
        <w:footnoteReference w:id="2"/>
      </w:r>
      <w:r w:rsidRPr="000329AE">
        <w:t xml:space="preserve"> Žaparovin hallitus on korostanut korruption vastaista toimintaa, ja korruption vuoksi on pidätetty</w:t>
      </w:r>
      <w:r w:rsidR="00AA00F5" w:rsidRPr="000329AE">
        <w:t xml:space="preserve">, </w:t>
      </w:r>
      <w:r w:rsidR="009837E5">
        <w:t>asetettu rikossyytteeseen</w:t>
      </w:r>
      <w:r w:rsidRPr="000329AE">
        <w:t xml:space="preserve"> </w:t>
      </w:r>
      <w:r w:rsidR="00AA00F5" w:rsidRPr="000329AE">
        <w:t xml:space="preserve">ja tuomittu </w:t>
      </w:r>
      <w:r w:rsidRPr="000329AE">
        <w:t xml:space="preserve">muun muassa tuomareita, veroviranomaisia, poliiseja ja muita viranomaisia. Heitä koskevien oikeusprosessien yksityiskohtia ei kuitenkaan ole julkistettu. Korruption vastaisista toimista on </w:t>
      </w:r>
      <w:r w:rsidR="00FF0777" w:rsidRPr="000329AE">
        <w:t xml:space="preserve">vastannut </w:t>
      </w:r>
      <w:r w:rsidRPr="000329AE">
        <w:t xml:space="preserve">pääasiassa </w:t>
      </w:r>
      <w:r w:rsidR="000D1206" w:rsidRPr="000329AE">
        <w:t>SCNS.</w:t>
      </w:r>
      <w:r w:rsidRPr="000329AE">
        <w:rPr>
          <w:rStyle w:val="Alaviitteenviite"/>
        </w:rPr>
        <w:footnoteReference w:id="3"/>
      </w:r>
    </w:p>
    <w:p w14:paraId="7286DED1" w14:textId="53288489" w:rsidR="005030A0" w:rsidRPr="000329AE" w:rsidRDefault="005030A0" w:rsidP="005030A0">
      <w:pPr>
        <w:pStyle w:val="Numeroimatonotsikko"/>
      </w:pPr>
      <w:r>
        <w:t>Oikeusjärjestelmän toiminta</w:t>
      </w:r>
    </w:p>
    <w:p w14:paraId="57906E84" w14:textId="4A20157A" w:rsidR="003F6575" w:rsidRPr="000329AE" w:rsidRDefault="003F6575" w:rsidP="00B51629">
      <w:r w:rsidRPr="000329AE">
        <w:t xml:space="preserve">Freedom House -kansalaisjärjestö arvio vuotta 2025 käsittelevässä raportissaan </w:t>
      </w:r>
      <w:r w:rsidR="00312E6D" w:rsidRPr="000329AE">
        <w:t>Kirgisistanin</w:t>
      </w:r>
      <w:r w:rsidRPr="000329AE">
        <w:t xml:space="preserve"> oikeusvaltiota </w:t>
      </w:r>
      <w:r w:rsidR="00B51629">
        <w:t xml:space="preserve">seuraavanlaisesti: oikeuslaitoksen riippumattomuus </w:t>
      </w:r>
      <w:r w:rsidRPr="000329AE">
        <w:t xml:space="preserve">0/4 pistettä, asianmukaisen oikeudenkäyntimenettelyn </w:t>
      </w:r>
      <w:r w:rsidR="00B51629">
        <w:t>toteutuminen</w:t>
      </w:r>
      <w:r w:rsidRPr="000329AE">
        <w:t xml:space="preserve"> siviili- ja rikosasioissa 0/4 pistettä, </w:t>
      </w:r>
      <w:r w:rsidR="00B51629">
        <w:t>suoja</w:t>
      </w:r>
      <w:r w:rsidRPr="000329AE">
        <w:t xml:space="preserve"> lainvastaista voimankäyttöä vastaan 1/4 </w:t>
      </w:r>
      <w:r w:rsidR="00FA5620" w:rsidRPr="000329AE">
        <w:t xml:space="preserve">pistettä </w:t>
      </w:r>
      <w:r w:rsidRPr="000329AE">
        <w:t xml:space="preserve">ja eri väestöryhmien </w:t>
      </w:r>
      <w:r w:rsidR="00B51629">
        <w:t>yhdenvertainen</w:t>
      </w:r>
      <w:r w:rsidRPr="000329AE">
        <w:t xml:space="preserve"> kohtelu 1/4 pistettä. Vuotta 2025 käsittelevä raportti on lyhennetty versio, ja Freedom House ohjaa lisätietojen osalta vuoden 2023 tilannetta käsittelevään raporttiin.</w:t>
      </w:r>
      <w:r w:rsidRPr="000329AE">
        <w:rPr>
          <w:rStyle w:val="Alaviitteenviite"/>
        </w:rPr>
        <w:footnoteReference w:id="4"/>
      </w:r>
      <w:r w:rsidRPr="000329AE">
        <w:t xml:space="preserve"> Vuotta 2023 käsittelevässä raportissa todetaan, että </w:t>
      </w:r>
      <w:r w:rsidR="00312E6D" w:rsidRPr="000329AE">
        <w:t>Kirgisistanin</w:t>
      </w:r>
      <w:r w:rsidRPr="000329AE">
        <w:t xml:space="preserve"> oikeuslaitos on toimeenpanovallan </w:t>
      </w:r>
      <w:r w:rsidR="00B51629">
        <w:t>hallinnassa</w:t>
      </w:r>
      <w:r w:rsidRPr="000329AE">
        <w:t xml:space="preserve">. Tuomareiden keskuudessa esiintyy laajasti korruptiota. Vastaajien oikeuksia, mukaan lukien syyttömyysolettamaa, ei aina kunnioiteta ja </w:t>
      </w:r>
      <w:r w:rsidR="00B51629">
        <w:t>tuomioistuimet hyväksyivät väitetysti kiduttamalla hankittuja todisteita rikosprosessissa säännöllisesti</w:t>
      </w:r>
      <w:r w:rsidRPr="000329AE">
        <w:t>.</w:t>
      </w:r>
      <w:r w:rsidRPr="000329AE">
        <w:rPr>
          <w:rStyle w:val="Alaviitteenviite"/>
        </w:rPr>
        <w:footnoteReference w:id="5"/>
      </w:r>
    </w:p>
    <w:p w14:paraId="5BD58ECE" w14:textId="756C5316" w:rsidR="00D35600" w:rsidRDefault="00D35600" w:rsidP="00683804">
      <w:r w:rsidRPr="000329AE">
        <w:t xml:space="preserve">International Partnership for Human Rightsin (IPHR) ja Lawyers for Human Rightsin (LHR) tukemassa hankkeessa </w:t>
      </w:r>
      <w:r w:rsidR="00312E6D" w:rsidRPr="000329AE">
        <w:t>Kirgisistanin</w:t>
      </w:r>
      <w:r w:rsidRPr="000329AE">
        <w:t xml:space="preserve"> kansalaisyhteiskunnan Akyikat Karegi -verkosto on seurannut rikosoikeussektorin toimintaa kansainvälisten ihmisoikeusstandardien näkökulmasta. Hankkeen myötä vuonna 2025 julkaistu</w:t>
      </w:r>
      <w:r w:rsidR="00B51629">
        <w:t>i</w:t>
      </w:r>
      <w:r w:rsidRPr="000329AE">
        <w:t xml:space="preserve">ssa raporteissa tuodaan esiin useita järjestelmällisiä ongelmia </w:t>
      </w:r>
      <w:r w:rsidR="00312E6D" w:rsidRPr="000329AE">
        <w:t>Kirgisistanin</w:t>
      </w:r>
      <w:r w:rsidRPr="000329AE">
        <w:t xml:space="preserve"> rikosoikeussektorista. </w:t>
      </w:r>
      <w:r w:rsidR="00FF0777" w:rsidRPr="000329AE">
        <w:t>Kirgisistanin</w:t>
      </w:r>
      <w:r w:rsidRPr="000329AE">
        <w:t xml:space="preserve"> oikeuslaitoksella kuvataan olevan riippumattomuutta tukeva perustuslaillinen kehys. Kuitenkin poliittinen vaikuttaminen tuomareiden ennenaikaisiin erottamisiin, muutoksenhakumekanismien puute ja menettelyjen läpinäkymättömyys heikentävät oikeuslaitoksen riippumattomuutta ja vastuuvelvollisuutta. Avoimuuden, puolueettomuuden ja tehokkaan itsehallinnon varmistaminen käytännössä edellyttäisi merkittäviä lainsäädännöllisiä ja institutionaalisia uudistuksia.</w:t>
      </w:r>
      <w:r w:rsidRPr="000329AE">
        <w:rPr>
          <w:rStyle w:val="Alaviitteenviite"/>
        </w:rPr>
        <w:footnoteReference w:id="6"/>
      </w:r>
      <w:r w:rsidRPr="000329AE">
        <w:t xml:space="preserve"> Samoin Bertelsmann Stiftungin vuonna 2026 julkaistussa maaraportissa </w:t>
      </w:r>
      <w:r w:rsidR="00312E6D" w:rsidRPr="000329AE">
        <w:t>Kirgisistanin</w:t>
      </w:r>
      <w:r w:rsidRPr="000329AE">
        <w:t xml:space="preserve"> oikeuslaitoksen kuvataan olevan riippuvainen ja alisteinen toimeenpanovallalle. Presidentillä on esimerkiksi oikeus nimittää korkeimman oikeuden ja perustuslakituomioistuimen puheenjohtajat sekä valita, nimittää ja erottaa tuomareita oikeuslaitoksen kaikilla tasoilla. Oikeuslaitoksen riippumattomuutta heikentävät merkittävästi sekä poliittinen vaikutusvalta että korkea korruptiotaso. </w:t>
      </w:r>
      <w:r w:rsidR="00B51629">
        <w:t>Viime aikoina u</w:t>
      </w:r>
      <w:r w:rsidR="00B51629" w:rsidRPr="00B51629">
        <w:t xml:space="preserve">seissa muun muassa kansalaisaktivisteja ja toimittajia vastaan poliittisin perustein </w:t>
      </w:r>
      <w:r w:rsidR="00B51629" w:rsidRPr="00B51629">
        <w:lastRenderedPageBreak/>
        <w:t>nostetuissa rikostapauksissa tuomioistuinten toiminta on ollut puolueellista, politisoitunutta sekä korruptoitunutta.</w:t>
      </w:r>
      <w:r w:rsidRPr="003C650A">
        <w:rPr>
          <w:rStyle w:val="Alaviitteenviite"/>
        </w:rPr>
        <w:footnoteReference w:id="7"/>
      </w:r>
    </w:p>
    <w:p w14:paraId="2AD466CE" w14:textId="41EC1E09" w:rsidR="00D35600" w:rsidRDefault="00D35600" w:rsidP="00B51629">
      <w:r w:rsidRPr="003C650A">
        <w:t xml:space="preserve">Bertelsmann Stiftungin maaraportin </w:t>
      </w:r>
      <w:r w:rsidR="0043351F">
        <w:t xml:space="preserve">mukaan </w:t>
      </w:r>
      <w:r w:rsidR="00B51629">
        <w:t xml:space="preserve">asianmukaisen oikeusprosessin toteutuksessa on ollut räikeitä epäkohtia: </w:t>
      </w:r>
      <w:r w:rsidR="00B51629" w:rsidRPr="00B51629">
        <w:t>hallintoa kritisoivia henkilöitä on pidätetty, yrityksille on määrätty kyseenalaisia sakkoja, vuosikymmeniä sitten yksityistettyä omaisuutta on otettu uudelleen valtion omistukseen ja väitetysti korruption keinoin hankittua varallisuutta on määrätty rankaisumielessä takaisin maksettavaksi</w:t>
      </w:r>
      <w:r w:rsidRPr="003C650A">
        <w:t xml:space="preserve">. </w:t>
      </w:r>
      <w:r w:rsidR="00B51629">
        <w:t>Näissä tapauksissa</w:t>
      </w:r>
      <w:r w:rsidRPr="003C650A">
        <w:t xml:space="preserve"> rikoksista tai muista väärinkäytöksistä on esitetty vain vähän tai ei lainkaan näyttöä, syyllisyyttä tukevia oikeuslääketieteellisiä lausuntoja on </w:t>
      </w:r>
      <w:r w:rsidR="001629E4" w:rsidRPr="003C650A">
        <w:t xml:space="preserve">hankittu </w:t>
      </w:r>
      <w:r w:rsidRPr="003C650A">
        <w:t xml:space="preserve">laajasti </w:t>
      </w:r>
      <w:r w:rsidR="001629E4">
        <w:t>puolueellisilta</w:t>
      </w:r>
      <w:r w:rsidRPr="003C650A">
        <w:t xml:space="preserve"> ”asiantuntijoilta”, talousrikoksia koskevista oikeudenkäynneistä tai tuomioistuinten ratkaisuista ei ole ollut julkisesti saatavilla tietoa </w:t>
      </w:r>
      <w:r w:rsidR="001629E4">
        <w:t xml:space="preserve">ja vähäisistä rikoksistakin on määrätty </w:t>
      </w:r>
      <w:r w:rsidR="0043351F">
        <w:t xml:space="preserve">mielivaltaisesti </w:t>
      </w:r>
      <w:r w:rsidR="001629E4">
        <w:t>pitkiä tutkintavankeusjaksoja</w:t>
      </w:r>
      <w:r w:rsidRPr="003C650A">
        <w:t xml:space="preserve">. Eräässä tapauksessa oikeuslääketieteellisiä lausuntoja turvallisuuspalveluille tuottaneen laitoksen entinen työntekijä kertoi julkisesti, että turvallisuuspalvelut antoivat säännönmukaisesti ohjeita siitä, mitä näihin lausuntoihin tuli kirjoittaa. Tämän jälkeen hänet vangittiin tekaistuihin syytteisiin perustuen. Tuomioistuimet ovat lähes poikkeuksetta tehneet yhteistyötä syyttäjän kanssa ja toimineet lainvalvonta- ja turvallisuusviranomaisten linjausten mukaisesti. Oikeusasiamies, kansallinen kidutuksen ehkäisemisen keskus, jotkut parlamentin jäsenet ja </w:t>
      </w:r>
      <w:r w:rsidRPr="00A53398">
        <w:t>asianajajat ovat tuoneet esiin huolensa ja protestoineet tällaisia väärinkäytöksiä vastaan, mutta vaikutukset ovat jääneet vähäisiksi.</w:t>
      </w:r>
      <w:r w:rsidRPr="00A53398">
        <w:rPr>
          <w:rStyle w:val="Alaviitteenviite"/>
        </w:rPr>
        <w:footnoteReference w:id="8"/>
      </w:r>
    </w:p>
    <w:p w14:paraId="47873BC6" w14:textId="1A491C2F" w:rsidR="009350AA" w:rsidRPr="00A53398" w:rsidRDefault="009350AA" w:rsidP="00B51629">
      <w:r w:rsidRPr="00A53398">
        <w:t>Akyikat Karegi -verkoston raporti</w:t>
      </w:r>
      <w:r>
        <w:t>ssa todetaan, että v</w:t>
      </w:r>
      <w:r w:rsidRPr="003C650A">
        <w:t>aikka vapauttavien tuomioiden määrä on kasvanut, oikeusjärjestelmässä tarvitaan edelleen rakenteellisia uudistuksia, erityisesti oikeuslaitoksen riippumattomuuden, syyttäjävalvonnan, korruption torjunnan sekä rikosprosessin läpinäkyvyyden ja oikeusturvatakeiden vahvistamiseksi.</w:t>
      </w:r>
      <w:r w:rsidRPr="003C650A">
        <w:rPr>
          <w:rStyle w:val="Alaviitteenviite"/>
        </w:rPr>
        <w:footnoteReference w:id="9"/>
      </w:r>
    </w:p>
    <w:p w14:paraId="208D98ED" w14:textId="61856A98" w:rsidR="005030A0" w:rsidRDefault="005030A0" w:rsidP="005030A0">
      <w:pPr>
        <w:pStyle w:val="Numeroimatonotsikko"/>
      </w:pPr>
      <w:r>
        <w:t>Oikeudenmukainen oikeudenkäynti</w:t>
      </w:r>
    </w:p>
    <w:p w14:paraId="3178AAE1" w14:textId="6F84C2B7" w:rsidR="00D35600" w:rsidRDefault="00D35600" w:rsidP="00D35600">
      <w:r w:rsidRPr="00A53398">
        <w:t xml:space="preserve">Akyikat Karegi -verkoston raportin mukaan </w:t>
      </w:r>
      <w:r w:rsidR="00312E6D" w:rsidRPr="00A53398">
        <w:t>Kirgisistanin</w:t>
      </w:r>
      <w:r w:rsidRPr="00A53398">
        <w:t xml:space="preserve"> lainsäädäntö turvaa muodollisesti oikeuden oikeudenmukaiseen ja julkiseen oikeudenkäyntiin, osapuolten </w:t>
      </w:r>
      <w:r w:rsidR="001114E8" w:rsidRPr="00A53398">
        <w:t xml:space="preserve">prosessuaalisen </w:t>
      </w:r>
      <w:r w:rsidRPr="00A53398">
        <w:t xml:space="preserve">yhdenvertaisuuden ja vastapuolisuuden sekä tietyille ryhmille </w:t>
      </w:r>
      <w:r w:rsidR="001114E8" w:rsidRPr="00A53398">
        <w:t>erityistakeet</w:t>
      </w:r>
      <w:r w:rsidRPr="00A53398">
        <w:t>. Käytännössä näiden oikeuksien toteutumista rajoittavat kuitenkin järjestelmän rakenteelliset ja institutionaaliset ongelmat</w:t>
      </w:r>
      <w:r w:rsidR="009350AA">
        <w:t xml:space="preserve">, kuten </w:t>
      </w:r>
      <w:r w:rsidRPr="00A53398">
        <w:t xml:space="preserve">syyttäjän aseman korostuminen, maksuttoman oikeusavun rajallinen saatavuus, tuomioistuinten maantieteellinen etäisyys sekä puutteellinen tuomioistuinvalvonta. Osapuolten oikeuksien toteutumista vaikeuttavat lisäksi pitkät oikeudenkäynnit, todisteiden ja puolustuksen esitysten muodollinen käsittely sekä vähäinen vaihtoehtoisten ja sovittelevien menettelyjen käyttö alaikäisten </w:t>
      </w:r>
      <w:r w:rsidR="009350AA">
        <w:t xml:space="preserve">henkilöiden </w:t>
      </w:r>
      <w:r w:rsidRPr="00A53398">
        <w:t xml:space="preserve">tapauksissa. Myös </w:t>
      </w:r>
      <w:r w:rsidR="009350AA">
        <w:t>kiduttamalla</w:t>
      </w:r>
      <w:r w:rsidRPr="003C650A">
        <w:t xml:space="preserve"> hankittujen todisteiden poissulkemista koskevassa valvonnassa on puutteita. Ongelmina ovat lisäksi tulkkauksen laatu ja riippumattoman oikeusasiantuntijalausunnon saatavuus. Useita keskeisiä menettelyjä, kuten videoyhteyksien käyttöä ja tuomioistuinten ratkaisujen julkaisemista, ei ole säännelty riittävän selkeästi.</w:t>
      </w:r>
      <w:r w:rsidRPr="003C650A">
        <w:rPr>
          <w:rStyle w:val="Alaviitteenviite"/>
        </w:rPr>
        <w:footnoteReference w:id="10"/>
      </w:r>
    </w:p>
    <w:p w14:paraId="062A34C3" w14:textId="2D640092" w:rsidR="005030A0" w:rsidRPr="003C650A" w:rsidRDefault="005030A0" w:rsidP="005030A0">
      <w:pPr>
        <w:pStyle w:val="Numeroimatonotsikko"/>
      </w:pPr>
      <w:r>
        <w:t>Oikeusapu</w:t>
      </w:r>
    </w:p>
    <w:p w14:paraId="7D403C7F" w14:textId="1AE09F23" w:rsidR="00D35600" w:rsidRDefault="00D35600" w:rsidP="00D35600">
      <w:r w:rsidRPr="003C650A">
        <w:t xml:space="preserve">Valtion takaamassa maksuttomassa oikeusavussa on viime vuosina tehty parannuksia, mutta maksuttoman oikeusavun saatavuudessa ja laadussa on edelleen merkittäviä ongelmia. Oikeusavun saatavuus ja laatu vaihtelevat alueittain, ja erityisesti syrjäseuduilla sekä rikosoikeudellisten menettelyjen alkuvaiheessa oikeusavun saamisessa on puutteita. Haavoittuvassa asemassa olevien, kuten lasten, oikeusavun laatua heikentää lisäksi oikeusaputehtävissä toimivien ammattilaisten riittämätön erityiskoulutus. Monet ihmiset eivät </w:t>
      </w:r>
      <w:r w:rsidRPr="003C650A">
        <w:lastRenderedPageBreak/>
        <w:t xml:space="preserve">myöskään </w:t>
      </w:r>
      <w:r w:rsidR="009350AA">
        <w:t>ole tietoisia oikeudestaan</w:t>
      </w:r>
      <w:r w:rsidRPr="003C650A">
        <w:t xml:space="preserve"> maksuttomaan oikeusapuun. </w:t>
      </w:r>
      <w:r w:rsidR="007E2C99">
        <w:t>Myös</w:t>
      </w:r>
      <w:r w:rsidRPr="003C650A">
        <w:t xml:space="preserve"> byrokraattiset esteet, epäluottamus oikeusavun laatuun ja luottamuksellisuuteen liittyvät huolet</w:t>
      </w:r>
      <w:r w:rsidR="007E2C99">
        <w:t xml:space="preserve"> vaikeuttavat oikeusavun saamista</w:t>
      </w:r>
      <w:r w:rsidRPr="003C650A">
        <w:t>.</w:t>
      </w:r>
      <w:r w:rsidRPr="003C650A">
        <w:rPr>
          <w:rStyle w:val="Alaviitteenviite"/>
        </w:rPr>
        <w:footnoteReference w:id="11"/>
      </w:r>
    </w:p>
    <w:p w14:paraId="49209E96" w14:textId="240444AA" w:rsidR="005030A0" w:rsidRPr="003C650A" w:rsidRDefault="005030A0" w:rsidP="005030A0">
      <w:pPr>
        <w:pStyle w:val="Numeroimatonotsikko"/>
      </w:pPr>
      <w:r>
        <w:t>Esitutkinta</w:t>
      </w:r>
    </w:p>
    <w:p w14:paraId="245DCE46" w14:textId="3645C23B" w:rsidR="00D35600" w:rsidRDefault="00D35600" w:rsidP="00D35600">
      <w:r w:rsidRPr="003C650A">
        <w:t>Esitutkintavaiheessa on merkittäviä puutteita kansainvälisten ihmisoikeusstandardien noudattamisessa. Erityisen ongelmallisena pidetään laajasti käytettyä esitutkintaa edeltävää tarkastusta, joka käytännössä sisältää monia varsinaisen tutkinnan piirteitä, mutta johon ei liity vastaavia oikeusturvatakeita. Epäiltyjen oikeuksia heikentää myös käytäntö, jossa pidätettyjä kuulustellaan aluksi todistajina ilman asianajajaa. Vuonna 2022 tehdyt lainsäädäntömuutokset laajensivat tutkintaelinten kuulusteluvaltuuksia, minkä tutkimus arvioi lisäävän ihmisoikeusloukkausten, kidutuksen, korruption ja rikostilastojen manipuloinnin riskejä. Puolustuksen ja syyttäjän sekä tutkintaviranomaisten välillä on rakenteellinen epätasapaino. Asianajajien mahdollisuudet hankkia näyttöä esitutkintavaiheessa ovat huomattavasti rajoitetummat kuin tutkijoilla ja syyttäjillä, mikä vaikeuttaa tehokkaan puolustuksen järjestämistä. Myös asianajajan ja päämiehen välisen viestinnän luottamuksellisuudessa on käytännön ongelmia.</w:t>
      </w:r>
      <w:r w:rsidRPr="003C650A">
        <w:rPr>
          <w:rStyle w:val="Alaviitteenviite"/>
        </w:rPr>
        <w:footnoteReference w:id="12"/>
      </w:r>
    </w:p>
    <w:p w14:paraId="0674D6E6" w14:textId="2F291870" w:rsidR="005030A0" w:rsidRPr="003C650A" w:rsidRDefault="005030A0" w:rsidP="005030A0">
      <w:pPr>
        <w:pStyle w:val="Numeroimatonotsikko"/>
      </w:pPr>
      <w:r>
        <w:t>Rikosilmoitus</w:t>
      </w:r>
    </w:p>
    <w:p w14:paraId="64EBBEC7" w14:textId="740EC36E" w:rsidR="00D35600" w:rsidRPr="003C650A" w:rsidRDefault="00D35600" w:rsidP="00D35600">
      <w:r w:rsidRPr="003C650A">
        <w:t>Rikosilmoitusten käsittelyssä on puutteita. Esitutkintajärjestelmässä rikokset luokitellaan niiden vakavuuden ja vaikutusten perusteella. Vakavat rikokset, kuten murhat, raiskaukset ja terrorismirikokset, on rekisteröitävä ja niiden perusteella on aloitettava rikosoikeudellinen menettely välittömästi. Sen sijaan talousrikoksia ja muita vähemmän merkityksellisinä pidettyjä rikoksia, kuten petoksia, voidaan käsitellä ennen varsinaisen rikostutkinnan aloittamista 10–30 päivän ajan, ja syyttäjä voi pidentää tätä aikaa. Viivästysten syiksi mainitaan rikosten monimutkaisuus, vähäinen julkinen paine, mahdollinen korruptio, tutkijoiden puolueellisuus sekä asiantuntijatutkimusten määrääminen.</w:t>
      </w:r>
      <w:r w:rsidRPr="003C650A">
        <w:rPr>
          <w:rStyle w:val="Alaviitteenviite"/>
        </w:rPr>
        <w:footnoteReference w:id="13"/>
      </w:r>
      <w:r w:rsidR="002B6E14">
        <w:t xml:space="preserve"> </w:t>
      </w:r>
    </w:p>
    <w:p w14:paraId="57CA82E1" w14:textId="39991407" w:rsidR="005030A0" w:rsidRDefault="005030A0" w:rsidP="005030A0">
      <w:pPr>
        <w:pStyle w:val="Numeroimatonotsikko"/>
      </w:pPr>
      <w:r>
        <w:t>Lainvalvontaviranomaisten toiminta</w:t>
      </w:r>
    </w:p>
    <w:p w14:paraId="22A58E42" w14:textId="54050F67" w:rsidR="005030A0" w:rsidRPr="003C650A" w:rsidRDefault="000A5E37" w:rsidP="000A5E37">
      <w:r w:rsidRPr="003C650A">
        <w:t xml:space="preserve">Kansainvälisen kidutuksen vastaisen järjestön (OMCT) kesäkuussa 2025 julkaisemien tietojen mukaan </w:t>
      </w:r>
      <w:r w:rsidR="00312E6D">
        <w:t>Kirgisistanissa</w:t>
      </w:r>
      <w:r w:rsidRPr="003C650A">
        <w:t xml:space="preserve"> esiintyy edelleen säännöllisesti poliisin liiallista ja usein raakaa voimankäyttöä.</w:t>
      </w:r>
      <w:r w:rsidRPr="003C650A">
        <w:rPr>
          <w:rStyle w:val="Alaviitteenviite"/>
        </w:rPr>
        <w:footnoteReference w:id="14"/>
      </w:r>
      <w:r w:rsidRPr="003C650A">
        <w:t xml:space="preserve"> Myös </w:t>
      </w:r>
      <w:r w:rsidR="004D4E5C" w:rsidRPr="003C650A">
        <w:t xml:space="preserve">Freedom House -järjestön vuotta 2023 käsittelevässä raportissa todetaan, että </w:t>
      </w:r>
      <w:r w:rsidR="009350AA" w:rsidRPr="009350AA">
        <w:t>pidätysten ja kuulustelujen yhteydessä tapahtuvasta kidutuksesta sekä vankiloissa harjoitetusta fyysisestä väkivallasta on raportoitu uskottavasti</w:t>
      </w:r>
      <w:r w:rsidR="004D4E5C" w:rsidRPr="003C650A">
        <w:t xml:space="preserve">. </w:t>
      </w:r>
      <w:r w:rsidR="00612AB5" w:rsidRPr="003C650A">
        <w:t>Useimmat tällaiset tapaukset eivät johda tutkintaan tai tuomioihin.</w:t>
      </w:r>
      <w:r w:rsidR="00612AB5" w:rsidRPr="003C650A">
        <w:rPr>
          <w:rStyle w:val="Alaviitteenviite"/>
        </w:rPr>
        <w:footnoteReference w:id="15"/>
      </w:r>
      <w:r w:rsidR="004D4E5C" w:rsidRPr="003C650A">
        <w:t xml:space="preserve"> Yhdysvaltain ulkoministeriön (USDOS) tuoreimmassa, vuotta 2024 käsittelevässä ihmisoikeusraportissa kerrotaan puolustusasianajajien, toimittajien ja ihmisoikeusjärjestöjen raportoineen poliisin ja muiden lainvalvontaviranomaisten tekemästä kidutuksesta. </w:t>
      </w:r>
      <w:r w:rsidR="00D35600" w:rsidRPr="003C650A">
        <w:t xml:space="preserve">Vaikka </w:t>
      </w:r>
      <w:r w:rsidR="004D4E5C" w:rsidRPr="003C650A">
        <w:t>viranomaiset</w:t>
      </w:r>
      <w:r w:rsidR="00D35600" w:rsidRPr="003C650A">
        <w:t xml:space="preserve"> </w:t>
      </w:r>
      <w:r w:rsidR="004D4E5C" w:rsidRPr="003C650A">
        <w:t>ryhtyivät</w:t>
      </w:r>
      <w:r w:rsidR="00D35600" w:rsidRPr="003C650A">
        <w:t xml:space="preserve"> toimiin </w:t>
      </w:r>
      <w:r w:rsidR="004D4E5C" w:rsidRPr="003C650A">
        <w:t>joidenkin ihmisoikeusloukkauksiin syyllistyneiden virkamiesten toimien tutkimiseksi</w:t>
      </w:r>
      <w:r w:rsidR="00F05576">
        <w:t>, syytteeseen saattamiseksi sekä rankaisemiseksi</w:t>
      </w:r>
      <w:r w:rsidR="004D4E5C" w:rsidRPr="003C650A">
        <w:t>, viranomaisten rankaisemattomuus oli edelleen ongelma</w:t>
      </w:r>
      <w:r w:rsidR="00D35600" w:rsidRPr="003C650A">
        <w:t>.</w:t>
      </w:r>
      <w:r w:rsidR="00D35600" w:rsidRPr="003C650A">
        <w:rPr>
          <w:rStyle w:val="Alaviitteenviite"/>
        </w:rPr>
        <w:footnoteReference w:id="16"/>
      </w:r>
      <w:r w:rsidRPr="003C650A">
        <w:t xml:space="preserve"> OMCT kesäkuussa 2025 julkaisemien tietojen mukaan</w:t>
      </w:r>
      <w:r w:rsidR="00D35600" w:rsidRPr="003C650A">
        <w:t xml:space="preserve"> </w:t>
      </w:r>
      <w:r w:rsidRPr="003C650A">
        <w:t>k</w:t>
      </w:r>
      <w:r w:rsidR="00D35600" w:rsidRPr="003C650A">
        <w:t>idutusta koskeviin väitteisiin vastaamisessa ja niiden tutkinnassa on edelleen havaittavissa tehottomuutta.</w:t>
      </w:r>
      <w:r w:rsidR="00D35600" w:rsidRPr="003C650A">
        <w:rPr>
          <w:rStyle w:val="Alaviitteenviite"/>
        </w:rPr>
        <w:footnoteReference w:id="17"/>
      </w:r>
    </w:p>
    <w:p w14:paraId="1A29D2CA" w14:textId="13AEE138" w:rsidR="00D35600" w:rsidRDefault="003C650A" w:rsidP="00D35600">
      <w:r w:rsidRPr="003C650A">
        <w:lastRenderedPageBreak/>
        <w:t>Freedom House -järjestön mukaan k</w:t>
      </w:r>
      <w:r w:rsidR="00D35600" w:rsidRPr="003C650A">
        <w:t xml:space="preserve">ulttuuriset rajoitteet ja lainvalvontaviranomaisten passiivisuus </w:t>
      </w:r>
      <w:r w:rsidRPr="003C650A">
        <w:t>vähentävät lähisuhdeväkivallan</w:t>
      </w:r>
      <w:r w:rsidR="00D35600" w:rsidRPr="003C650A">
        <w:t xml:space="preserve"> ja raiskausten </w:t>
      </w:r>
      <w:r w:rsidRPr="003C650A">
        <w:t>uhrien halukkuutta ottaa yhteyttä viranomaisiin</w:t>
      </w:r>
      <w:r w:rsidR="00D35600" w:rsidRPr="003C650A">
        <w:t>. Vuonna 2017 säädetyn lainsäädännön tavoitteena oli laajentaa lähisuhdeväkivallan määritelmää sekä parantaa uhrien saamaa apua ja lainvalvontaviranomaisten toimintaa, mutta lakia pannaan täytäntöön heikosti.</w:t>
      </w:r>
      <w:r w:rsidR="00D35600" w:rsidRPr="003C650A">
        <w:rPr>
          <w:rStyle w:val="Alaviitteenviite"/>
        </w:rPr>
        <w:footnoteReference w:id="18"/>
      </w:r>
      <w:r w:rsidRPr="003C650A">
        <w:t xml:space="preserve"> OMCT:n raportissa ”kaikkien henkilöiden suojan” toteutumiseen liittyvä riski arvioidaan huomattavaksi. </w:t>
      </w:r>
      <w:r w:rsidR="00D35600" w:rsidRPr="003C650A">
        <w:t xml:space="preserve">Lähisuhdeväkivaltaa ja </w:t>
      </w:r>
      <w:r w:rsidRPr="003C650A">
        <w:t>naisiin kohdistuvia henkirikoksia</w:t>
      </w:r>
      <w:r w:rsidR="00D35600" w:rsidRPr="003C650A">
        <w:t xml:space="preserve"> koskevat julkiset tilastot ovat puutteellisia, mikä vaikeuttaa tehokkaiden politiikka</w:t>
      </w:r>
      <w:r w:rsidR="00102E0C">
        <w:t>-</w:t>
      </w:r>
      <w:r w:rsidR="00D35600" w:rsidRPr="003C650A">
        <w:t xml:space="preserve"> ja tukitoimien kohdentamista </w:t>
      </w:r>
      <w:r w:rsidRPr="003C650A">
        <w:t>kyseisille</w:t>
      </w:r>
      <w:r w:rsidR="00D35600" w:rsidRPr="003C650A">
        <w:t xml:space="preserve"> väestöryhmille. Lisäksi voimassa olevat terrorismin ja ekstremismin vastaiset lait eivät sisällä riittäviä suojamekanismeja kidutusta tai muuta julmaa, epäinhimillistä tai halventavaa kohtelua vastaan.</w:t>
      </w:r>
      <w:r w:rsidR="00D35600" w:rsidRPr="003C650A">
        <w:rPr>
          <w:rStyle w:val="Alaviitteenviite"/>
        </w:rPr>
        <w:footnoteReference w:id="19"/>
      </w:r>
    </w:p>
    <w:p w14:paraId="350677C6" w14:textId="702F88F9" w:rsidR="00473DF0" w:rsidRPr="00D35600" w:rsidRDefault="00473DF0" w:rsidP="00D35600">
      <w:r>
        <w:t xml:space="preserve">Julkisesti saatavilla olevista lähteistä ei löydy muuta tietoa viranomaissuojelun saatavuudesta </w:t>
      </w:r>
      <w:r w:rsidR="00312E6D">
        <w:t>Kirgisistanissa</w:t>
      </w:r>
      <w:r>
        <w:t xml:space="preserve">. </w:t>
      </w:r>
    </w:p>
    <w:bookmarkEnd w:id="0"/>
    <w:p w14:paraId="34B3ACA9" w14:textId="53E13422" w:rsidR="00A52A13" w:rsidRPr="00BD5378" w:rsidRDefault="00A52A13" w:rsidP="00A52A13">
      <w:pPr>
        <w:pStyle w:val="Otsikko1"/>
      </w:pPr>
      <w:r w:rsidRPr="00A52A13">
        <w:t xml:space="preserve">Millainen on islamista luopuneiden tilanne? Onko raportoitu </w:t>
      </w:r>
      <w:r w:rsidRPr="00BD5378">
        <w:t>oikeudenloukkauksista tästä syystä viime vuosina?</w:t>
      </w:r>
    </w:p>
    <w:p w14:paraId="2840C346" w14:textId="1551E586" w:rsidR="005030A0" w:rsidRDefault="005030A0" w:rsidP="005030A0">
      <w:pPr>
        <w:pStyle w:val="Numeroimatonotsikko"/>
      </w:pPr>
      <w:r>
        <w:t>Väestö</w:t>
      </w:r>
    </w:p>
    <w:p w14:paraId="3917692C" w14:textId="40A22A62" w:rsidR="000D58C2" w:rsidRPr="00BD5378" w:rsidRDefault="00312E6D" w:rsidP="000D58C2">
      <w:r>
        <w:t>Kirgisistanin</w:t>
      </w:r>
      <w:r w:rsidR="000D58C2" w:rsidRPr="00BD5378">
        <w:t xml:space="preserve"> noin kuudesta miljoonasta asukkaasta noin 90 % on muslimeja. Suurin osa muslimeista noudattaa Hanafi-sunnalaisuutta ja yksi prosentti shiialaisuutta. Ei-muslimiväestö koostuu pääosin kristityistä, joista noin 40 % on venäläisiä ortodokseja. Muita kristillisiä ryhmiä ovat katoliset, baptistit ja Jehovan todistajat. Loput väestöstä ovat juutalaisia, buddhalaisia, bahá'í-uskon kannattajia, Hare Krishna -liikkeen jäseniä sekä tengrinistejä.</w:t>
      </w:r>
      <w:r w:rsidR="000D58C2" w:rsidRPr="00BD5378">
        <w:rPr>
          <w:rStyle w:val="Alaviitteenviite"/>
          <w:lang w:val="en-US"/>
        </w:rPr>
        <w:footnoteReference w:id="20"/>
      </w:r>
    </w:p>
    <w:p w14:paraId="3F4CBA37" w14:textId="65871D67" w:rsidR="005030A0" w:rsidRDefault="005030A0" w:rsidP="005030A0">
      <w:pPr>
        <w:pStyle w:val="Numeroimatonotsikko"/>
      </w:pPr>
      <w:r>
        <w:t>Uskonnonvapaus lainsäädännössä</w:t>
      </w:r>
    </w:p>
    <w:p w14:paraId="565DB72F" w14:textId="62875707" w:rsidR="00BC0768" w:rsidRPr="00BD5378" w:rsidRDefault="00312E6D" w:rsidP="004C5797">
      <w:r>
        <w:t>Kirgisistanin</w:t>
      </w:r>
      <w:r w:rsidRPr="00BD5378">
        <w:t xml:space="preserve"> </w:t>
      </w:r>
      <w:r w:rsidR="00F36C49" w:rsidRPr="00BD5378">
        <w:t>perustuslaissa taataan omantunnon- ja uskonnonvapaus, oikeus harjoittaa tai olla harjoittamatta uskontoa joko yksin tai yhdessä muiden kanssa sekä oikeus kieltäytyä ilmaisemasta omia uskonnollisia näkemyksiään. Perustuslaissa kielletään uskonnolliseen vihaan yllyttävät toimet ja vahvistetaan uskonnon ja valtion erottaminen toisistaan.</w:t>
      </w:r>
      <w:r w:rsidR="00F36C49" w:rsidRPr="00BD5378">
        <w:rPr>
          <w:rStyle w:val="Alaviitteenviite"/>
        </w:rPr>
        <w:footnoteReference w:id="21"/>
      </w:r>
      <w:r w:rsidR="008B04F8" w:rsidRPr="00BD5378">
        <w:t xml:space="preserve"> </w:t>
      </w:r>
      <w:r w:rsidR="004C5797" w:rsidRPr="00BD5378">
        <w:t xml:space="preserve">Bertelmannsn Stiftung -säätiön vuonna 2026 julkaistun maaraportin mukaan </w:t>
      </w:r>
      <w:r>
        <w:t>Kirgisistan</w:t>
      </w:r>
      <w:r w:rsidR="004C5797" w:rsidRPr="00BD5378">
        <w:t xml:space="preserve"> on sekulaarinen valtio sekä perustuslain mukaan että käytännössä. Valtionjohto ja lähes koko poliittinen eliitti osoittavat julkisessa retoriikassaan kunnioitusta islamia kohtaan, mutta uskonto ei vaikuta </w:t>
      </w:r>
      <w:r w:rsidR="00F05576">
        <w:t>hallituksen toimintaan</w:t>
      </w:r>
      <w:r w:rsidR="004C5797" w:rsidRPr="00BD5378">
        <w:t xml:space="preserve"> eikä lainsäädäntöön. Parlamentissa on ollut vuodesta 2021 lähtien edustettuna yksi </w:t>
      </w:r>
      <w:r w:rsidR="00332AB2">
        <w:t xml:space="preserve">islamia </w:t>
      </w:r>
      <w:r w:rsidR="00102E0C">
        <w:t>oletettavasti edistävä</w:t>
      </w:r>
      <w:r w:rsidR="00332AB2">
        <w:t xml:space="preserve"> </w:t>
      </w:r>
      <w:r w:rsidR="004C5797" w:rsidRPr="00BD5378">
        <w:t>puolue, Yiman Nuru. Se on kuitenkin pienin parlamenttiryhmä, jolla on vain viisi paikkaa, eikä se ole onnistunut lisäämään uskonnollista vaikutusvaltaa lainsäädännössä tai julkisissa instituutioissa.</w:t>
      </w:r>
      <w:r w:rsidR="00BC0768" w:rsidRPr="00BD5378">
        <w:rPr>
          <w:rStyle w:val="Alaviitteenviite"/>
        </w:rPr>
        <w:footnoteReference w:id="22"/>
      </w:r>
    </w:p>
    <w:p w14:paraId="3E5C0229" w14:textId="3CCBD2F5" w:rsidR="004C5797" w:rsidRDefault="00312E6D" w:rsidP="00BC0768">
      <w:r>
        <w:t>Kirgisistanissa</w:t>
      </w:r>
      <w:r w:rsidR="00BC0768" w:rsidRPr="00BD5378">
        <w:t xml:space="preserve"> hyväksyttiin vuoden 2024 lopussa uusi uskonnonvapautta ja uskonnollisia yhteisöjä koskeva laki. </w:t>
      </w:r>
      <w:r w:rsidR="004C5797" w:rsidRPr="00BD5378">
        <w:t xml:space="preserve">Lain myötä otettiin käyttöön uusia rajoituksia ja säännöksiä uskonnonharjoittamiseen ja uskonnollisiin yhteisöihin liittyen, kuten pakollinen rekisteröinti, rekisteröimättömän toiminnan kieltäminen, uskonnollisen pukeutumisen sääntely sekä uskonnollisen materiaalin ja opetuksen valvonta, mikä vahvisti entisestään </w:t>
      </w:r>
      <w:r>
        <w:t>Kirgisistanin</w:t>
      </w:r>
      <w:r w:rsidR="004C5797" w:rsidRPr="00BD5378">
        <w:t xml:space="preserve"> sekulaarisuutta.</w:t>
      </w:r>
      <w:r w:rsidR="004C5797" w:rsidRPr="00BD5378">
        <w:rPr>
          <w:rStyle w:val="Alaviitteenviite"/>
        </w:rPr>
        <w:footnoteReference w:id="23"/>
      </w:r>
      <w:r w:rsidR="00BC0768" w:rsidRPr="00BD5378">
        <w:t xml:space="preserve"> Osa uskonnollisista yhteisöistä ja kansalaisyhteiskunnan edustajista on ollut huolissaan uuden lain rajoituksista uskonnonvapauteen. Erityisen ongelmallisina pidettiin lain </w:t>
      </w:r>
      <w:r w:rsidR="00BC0768" w:rsidRPr="00BD5378">
        <w:lastRenderedPageBreak/>
        <w:t xml:space="preserve">laajoja ja epäselviä säännöksiä, joiden pelättiin mahdollistavan niiden soveltamisen vähemmistöuskontoja ja rauhanomaista uskonnollista toimintaa vastaan. Kansalaisyhteiskunnan edustajat </w:t>
      </w:r>
      <w:r w:rsidR="001821F4" w:rsidRPr="00BD5378">
        <w:t>katsovat</w:t>
      </w:r>
      <w:r w:rsidR="00BC0768" w:rsidRPr="00BD5378">
        <w:t xml:space="preserve"> lain suosivan perinteisiä uskonnollisia yhteisöjä, kuten </w:t>
      </w:r>
      <w:r>
        <w:t>Kirgisistanin</w:t>
      </w:r>
      <w:r w:rsidRPr="00BD5378">
        <w:t xml:space="preserve"> </w:t>
      </w:r>
      <w:r w:rsidR="00BC0768" w:rsidRPr="00BD5378">
        <w:t>muslimien uskonnollista hallintoa ja Venäjän ortodoksista kirkkoa.</w:t>
      </w:r>
      <w:r w:rsidR="00BC0768" w:rsidRPr="00BD5378">
        <w:rPr>
          <w:rStyle w:val="Alaviitteenviite"/>
        </w:rPr>
        <w:footnoteReference w:id="24"/>
      </w:r>
      <w:r w:rsidR="001821F4" w:rsidRPr="00BD5378">
        <w:t xml:space="preserve"> Käytetyistä lähteistä ei löydy mainintoja siitä, että uudella lailla olisi vaikutusta islamista luopuneiden tilanteeseen.</w:t>
      </w:r>
    </w:p>
    <w:p w14:paraId="7268D90B" w14:textId="70C7F281" w:rsidR="005030A0" w:rsidRPr="00BD5378" w:rsidRDefault="005030A0" w:rsidP="005030A0">
      <w:pPr>
        <w:pStyle w:val="Numeroimatonotsikko"/>
      </w:pPr>
      <w:r>
        <w:t>Islamista luopuneet</w:t>
      </w:r>
    </w:p>
    <w:p w14:paraId="546429D0" w14:textId="000ACF1C" w:rsidR="001821F4" w:rsidRDefault="001821F4" w:rsidP="001821F4">
      <w:r w:rsidRPr="00BD5378">
        <w:t>Uskonnon- ja vakaumuksenvapauteen keskittyvä Forum 18 -ihmisoikeusjärjestö</w:t>
      </w:r>
      <w:r w:rsidRPr="00BD5378">
        <w:rPr>
          <w:rStyle w:val="Alaviitteenviite"/>
        </w:rPr>
        <w:footnoteReference w:id="25"/>
      </w:r>
      <w:r w:rsidRPr="00BD5378">
        <w:t>, Yhdysvaltain kansainvälisen uskonnonvapauden komissio USCIRF</w:t>
      </w:r>
      <w:r w:rsidRPr="00BD5378">
        <w:rPr>
          <w:rStyle w:val="Alaviitteenviite"/>
        </w:rPr>
        <w:footnoteReference w:id="26"/>
      </w:r>
      <w:r w:rsidRPr="00BD5378">
        <w:t>, Yhdysvaltain ulkoministeriö</w:t>
      </w:r>
      <w:r w:rsidRPr="00BD5378">
        <w:rPr>
          <w:rStyle w:val="Alaviitteenviite"/>
        </w:rPr>
        <w:footnoteReference w:id="27"/>
      </w:r>
      <w:r w:rsidRPr="00BD5378">
        <w:t>, Freedom House</w:t>
      </w:r>
      <w:r w:rsidRPr="00BD5378">
        <w:rPr>
          <w:rStyle w:val="Alaviitteenviite"/>
        </w:rPr>
        <w:footnoteReference w:id="28"/>
      </w:r>
      <w:r w:rsidRPr="00BD5378">
        <w:t>, Human Rights Watch</w:t>
      </w:r>
      <w:r w:rsidRPr="00BD5378">
        <w:rPr>
          <w:rStyle w:val="Alaviitteenviite"/>
        </w:rPr>
        <w:footnoteReference w:id="29"/>
      </w:r>
      <w:r w:rsidRPr="00BD5378">
        <w:t xml:space="preserve"> tai Amnesty</w:t>
      </w:r>
      <w:r w:rsidRPr="00BD5378">
        <w:rPr>
          <w:rStyle w:val="Alaviitteenviite"/>
        </w:rPr>
        <w:footnoteReference w:id="30"/>
      </w:r>
      <w:r w:rsidRPr="00BD5378">
        <w:t xml:space="preserve"> eivät mainitse tuoreimmissa raporteissaan tai analyyseissaan islamista luopuneiden tilannetta tai </w:t>
      </w:r>
      <w:r w:rsidR="00F05576">
        <w:t>tuo esiin</w:t>
      </w:r>
      <w:r w:rsidRPr="00BD5378">
        <w:t xml:space="preserve"> heihin kohdistuneita oikeudenloukkauksia. </w:t>
      </w:r>
    </w:p>
    <w:p w14:paraId="5459921C" w14:textId="181FDB52" w:rsidR="005030A0" w:rsidRPr="00BD5378" w:rsidRDefault="005030A0" w:rsidP="005030A0">
      <w:pPr>
        <w:pStyle w:val="Numeroimatonotsikko"/>
      </w:pPr>
      <w:r>
        <w:t>Ei-muslimiväestö</w:t>
      </w:r>
    </w:p>
    <w:p w14:paraId="7075AABA" w14:textId="576EBA7A" w:rsidR="00F36C49" w:rsidRPr="00483BB4" w:rsidRDefault="00BD5378" w:rsidP="00483BB4">
      <w:r w:rsidRPr="00BD5378">
        <w:t xml:space="preserve">Mainittakoon, että käytetyistä lähteistä löytyy </w:t>
      </w:r>
      <w:r w:rsidR="0016666D">
        <w:t>joitakin mainintoja</w:t>
      </w:r>
      <w:r w:rsidRPr="00BD5378">
        <w:t xml:space="preserve"> kristittyjen tilanteesta </w:t>
      </w:r>
      <w:r w:rsidR="00312E6D">
        <w:t>Kirgisistanissa</w:t>
      </w:r>
      <w:r w:rsidRPr="00BD5378">
        <w:t xml:space="preserve">. </w:t>
      </w:r>
      <w:r w:rsidR="00800E0C" w:rsidRPr="00BD5378">
        <w:t>Forum 18 toteaa</w:t>
      </w:r>
      <w:r w:rsidR="008B04F8" w:rsidRPr="00BD5378">
        <w:t xml:space="preserve"> helmikuussa 2025</w:t>
      </w:r>
      <w:r w:rsidR="00800E0C" w:rsidRPr="00BD5378">
        <w:t xml:space="preserve">, että </w:t>
      </w:r>
      <w:r w:rsidR="008B04F8" w:rsidRPr="00BD5378">
        <w:t xml:space="preserve">paikallisten protestanttien mukaan pääkaupunki Biškekin ulkopuolisilla alueilla on edelleen esiintynyt väkivaltaisia hyökkäyksiä </w:t>
      </w:r>
      <w:r w:rsidR="00102E0C">
        <w:t>ei-muslimeja</w:t>
      </w:r>
      <w:r w:rsidR="008B04F8" w:rsidRPr="00BD5378">
        <w:t xml:space="preserve"> vastaan. Protestanttien mukaan hyökkäyksistä ei uskalleta tehdä valituksia viranomaisille, koska </w:t>
      </w:r>
      <w:r w:rsidR="00102E0C">
        <w:t xml:space="preserve">hyökkäysten kohteeksi joutuneet pelkäävät </w:t>
      </w:r>
      <w:r w:rsidR="008B04F8" w:rsidRPr="00BD5378">
        <w:t xml:space="preserve">viranomaisten ja paikallisten väkijoukkojen kostotoimia. Forum 18:n haastattelema protestantti kertoi, että eri puolilla </w:t>
      </w:r>
      <w:r w:rsidR="00312E6D">
        <w:t>Kirgisistania</w:t>
      </w:r>
      <w:r w:rsidR="008B04F8" w:rsidRPr="00BD5378">
        <w:t xml:space="preserve"> väkijoukot ovat esittäneet </w:t>
      </w:r>
      <w:r w:rsidR="00F05576">
        <w:t xml:space="preserve">kristinuskoa tunnustaville </w:t>
      </w:r>
      <w:r w:rsidR="008B04F8" w:rsidRPr="00BD5378">
        <w:t>etnisille kirgiiseille</w:t>
      </w:r>
      <w:r w:rsidR="00F05576">
        <w:t xml:space="preserve"> </w:t>
      </w:r>
      <w:r w:rsidR="008B04F8" w:rsidRPr="00BD5378">
        <w:t xml:space="preserve">uhkauksia siitä, että heidät pakotetaan kääntymään kristinuskosta islamiin. Yhdessä tällaisessa tapauksessa väkijoukko uhkasi, että </w:t>
      </w:r>
      <w:r w:rsidR="0016666D">
        <w:t>kyseisten</w:t>
      </w:r>
      <w:r w:rsidR="008B04F8" w:rsidRPr="00BD5378">
        <w:t xml:space="preserve"> </w:t>
      </w:r>
      <w:r w:rsidR="0016666D">
        <w:t>etnisten</w:t>
      </w:r>
      <w:r w:rsidR="008B04F8" w:rsidRPr="00BD5378">
        <w:t xml:space="preserve"> kirgiisikristit</w:t>
      </w:r>
      <w:r w:rsidR="0016666D">
        <w:t>tyjen pitää lähteä</w:t>
      </w:r>
      <w:r w:rsidR="008B04F8" w:rsidRPr="00BD5378">
        <w:t xml:space="preserve"> kodeistaan, jos he eivät suostu kääntymään islamiin. Paikallisviranomaiset rauhoittelivat väkijoukkoa ja saivat osapuolet tekemään sovinnon, mutta hyökkäyksen tai uhkausten esittäjiä vastaan ei nostettu syytteitä. Lisäksi Forum 18 toteaa, että joissakin tapauksissa valtion nimittämät muslimien uskonnolliset johtajat ja valtion virkamiehet ovat estäneet ei-muslimiperheitä hautaamasta vainajiaan paikallisviranomaisten hallinnoimille hautausmaille.</w:t>
      </w:r>
      <w:r w:rsidR="008B04F8" w:rsidRPr="00BD5378">
        <w:rPr>
          <w:rStyle w:val="Alaviitteenviite"/>
        </w:rPr>
        <w:footnoteReference w:id="31"/>
      </w:r>
      <w:r w:rsidRPr="00BD5378">
        <w:t xml:space="preserve"> </w:t>
      </w:r>
      <w:r w:rsidR="00483BB4">
        <w:t xml:space="preserve">Forum 18 ei tarkenna, milloin kyseiset tapaukset ovat tapahtuneet. </w:t>
      </w:r>
      <w:r w:rsidRPr="00BD5378">
        <w:t>USCIRF:n lokakuussa 2023 julkaistussa maakatsauksessa</w:t>
      </w:r>
      <w:r w:rsidR="00483BB4">
        <w:t xml:space="preserve"> viitataan mahdollisesti samaan tapaukseen. Maakatsauksen mukaan </w:t>
      </w:r>
      <w:r w:rsidRPr="00BD5378">
        <w:t>pienissä maaseutukaupungeissa</w:t>
      </w:r>
      <w:r>
        <w:t xml:space="preserve"> a</w:t>
      </w:r>
      <w:r w:rsidRPr="00BD5378">
        <w:t xml:space="preserve">suvat protestantit joutuvat usein paikallista valtaa käyttävien henkilöiden häirinnän kohteeksi, koska nämä katsovat, että etnisten kirgiisien tulisi olla muslimeja. Viranomaiset ovat väittäneet, että kristittyihin </w:t>
      </w:r>
      <w:r w:rsidR="00F05576" w:rsidRPr="00F05576">
        <w:t>kohdistuneiden rikosten tekijöiden syytteeseen asettaminen voisi vaarantaa yhteiskunnallisen sopusoinnun tai siihen liittyvän julkikuvan, ja siksi he antavat väkivallasta tai ilkivallasta kuvan yksittäisinä tapauksina</w:t>
      </w:r>
      <w:r>
        <w:t xml:space="preserve">. </w:t>
      </w:r>
      <w:r w:rsidRPr="00BD5378">
        <w:t xml:space="preserve">Väkijoukot ovat hyökänneet </w:t>
      </w:r>
      <w:r w:rsidR="00F05576">
        <w:t>ei-muslimien</w:t>
      </w:r>
      <w:r w:rsidRPr="00BD5378">
        <w:t xml:space="preserve"> kimppuun, mutta uhrit ilmoittavat tapauksista harvoin, koska he pelkäävät sekä viranomaisten että väkijoukkojen kostotoimia. Esimerkiksi marraskuussa 2022 väkijoukko uhkaili kristittyjä ja uhkasi ajaa heidät kodeistaan, jos he kieltäytyisivät kääntymästä islamiin. Vaikka paikallisviranomaiset hajottivat väkijoukon, ketään tilanteeseen osallistunutta ei asetettu syytteeseen</w:t>
      </w:r>
      <w:r w:rsidR="004C45B1" w:rsidRPr="00BD5378">
        <w:t>.</w:t>
      </w:r>
      <w:r w:rsidR="004C45B1">
        <w:rPr>
          <w:rStyle w:val="Alaviitteenviite"/>
          <w:lang w:val="en-US"/>
        </w:rPr>
        <w:footnoteReference w:id="32"/>
      </w:r>
      <w:r w:rsidRPr="00BD5378">
        <w:t xml:space="preserve"> USCIRF</w:t>
      </w:r>
      <w:r>
        <w:t xml:space="preserve">:n tuoreimmassa, lokakuussa 2025 </w:t>
      </w:r>
      <w:r>
        <w:lastRenderedPageBreak/>
        <w:t>julkaistussa maakatsauksessa ei mainita kristittyihin tai muihin ei-muslimeihin kohdistuvia oikeudenloukkauksia.</w:t>
      </w:r>
      <w:r>
        <w:rPr>
          <w:rStyle w:val="Alaviitteenviite"/>
        </w:rPr>
        <w:footnoteReference w:id="33"/>
      </w:r>
    </w:p>
    <w:p w14:paraId="6BF38DBC" w14:textId="051BC117" w:rsidR="00A52A13" w:rsidRPr="00AA00F5" w:rsidRDefault="00A52A13" w:rsidP="00A52A13">
      <w:pPr>
        <w:pStyle w:val="Otsikko1"/>
      </w:pPr>
      <w:r w:rsidRPr="00AA00F5">
        <w:t xml:space="preserve">Tiivis kuvaus </w:t>
      </w:r>
      <w:r w:rsidR="00312E6D">
        <w:t>Kirgisistanin</w:t>
      </w:r>
      <w:r w:rsidRPr="00AA00F5">
        <w:t xml:space="preserve"> terveydenhuollon tilanteesta</w:t>
      </w:r>
    </w:p>
    <w:p w14:paraId="4C314ABB" w14:textId="50F3A53F" w:rsidR="00A645D1" w:rsidRDefault="00F05576" w:rsidP="001F7897">
      <w:r>
        <w:t xml:space="preserve">Maailman terveysjärjestö </w:t>
      </w:r>
      <w:r w:rsidR="001F7897" w:rsidRPr="00AA00F5">
        <w:t xml:space="preserve">WHO:n Euroopan aluetoimisto ja European Observatory on Health Systems and Policies -verkosto </w:t>
      </w:r>
      <w:r w:rsidR="003F4C79">
        <w:t>ovat</w:t>
      </w:r>
      <w:r w:rsidR="001F7897" w:rsidRPr="00AA00F5">
        <w:t xml:space="preserve"> </w:t>
      </w:r>
      <w:r w:rsidR="003F4C79">
        <w:t>julkaisseet</w:t>
      </w:r>
      <w:r w:rsidR="001F7897" w:rsidRPr="00AA00F5">
        <w:t xml:space="preserve"> joulukuussa 2024 </w:t>
      </w:r>
      <w:r w:rsidR="00312E6D">
        <w:t>Kirgisistanin</w:t>
      </w:r>
      <w:r w:rsidR="00312E6D" w:rsidRPr="00BD5378">
        <w:t xml:space="preserve"> </w:t>
      </w:r>
      <w:r w:rsidR="001F7897" w:rsidRPr="00AA00F5">
        <w:t xml:space="preserve">terveydenhuoltojärjestelmän maaraportin. Maaraportissa kuvaillaan, kuinka </w:t>
      </w:r>
      <w:r w:rsidR="00312E6D">
        <w:t>Kirgisistanin</w:t>
      </w:r>
      <w:r w:rsidR="00312E6D" w:rsidRPr="00BD5378">
        <w:t xml:space="preserve"> </w:t>
      </w:r>
      <w:r>
        <w:t>terveydenhuoltojärjestelmää</w:t>
      </w:r>
      <w:r w:rsidR="001E0F86" w:rsidRPr="00AA00F5">
        <w:t xml:space="preserve"> johtaa terveysministeriö, joka vastaa kansallis</w:t>
      </w:r>
      <w:r w:rsidR="00C8556C">
        <w:t xml:space="preserve">en terveydenhuoltopolitiikan </w:t>
      </w:r>
      <w:r w:rsidR="001E0F86" w:rsidRPr="00AA00F5">
        <w:t>kehittämisestä ja terveyspalvelujen tarjoamisen sääntelystä. Suurin osa terveyspalvelujen tuottajista on julkisia. Sairausvakuutusjärjestelmä rahoitetaan pääasiassa</w:t>
      </w:r>
      <w:r w:rsidR="00C8556C">
        <w:t xml:space="preserve"> (</w:t>
      </w:r>
      <w:r w:rsidR="001E0F86" w:rsidRPr="00AA00F5">
        <w:t>yli 70</w:t>
      </w:r>
      <w:r w:rsidR="00C8556C">
        <w:t xml:space="preserve"> %)</w:t>
      </w:r>
      <w:r w:rsidR="001E0F86" w:rsidRPr="00AA00F5">
        <w:t xml:space="preserve"> kansallisesta terveysbudjetista.</w:t>
      </w:r>
      <w:r w:rsidR="001F7897" w:rsidRPr="00AA00F5">
        <w:rPr>
          <w:rStyle w:val="Alaviitteenviite"/>
        </w:rPr>
        <w:footnoteReference w:id="34"/>
      </w:r>
      <w:r w:rsidR="00A71506" w:rsidRPr="00AA00F5">
        <w:t xml:space="preserve"> </w:t>
      </w:r>
      <w:r w:rsidR="00BD5378" w:rsidRPr="00BD5378">
        <w:t xml:space="preserve">Bertelmannsn Stiftung -säätiön vuonna 2026 julkaistun maaraportin </w:t>
      </w:r>
      <w:r w:rsidR="00A71506" w:rsidRPr="00AA00F5">
        <w:t>mukaan valtion terveysmenot olivat 2,6 % bruttokansantuotteesta vuonna 2023, kun vuonna 2021 niiden osuus oli 2,9 %. Tätä on arvioitu hyvin vähäiseksi määräksi, joka kuvastaa julkisen terveydenhuoltojärjestelmän heikkoa tilaa. Julkisen terveydenhuollon palvelujen laatu on yleensä heikko.</w:t>
      </w:r>
      <w:r w:rsidR="00A71506" w:rsidRPr="00AA00F5">
        <w:rPr>
          <w:rStyle w:val="Alaviitteenviite"/>
        </w:rPr>
        <w:footnoteReference w:id="35"/>
      </w:r>
      <w:r w:rsidR="00A71506" w:rsidRPr="00AA00F5">
        <w:t xml:space="preserve"> </w:t>
      </w:r>
    </w:p>
    <w:p w14:paraId="0D52DB4E" w14:textId="04F7042E" w:rsidR="00ED5716" w:rsidRPr="00AA00F5" w:rsidRDefault="00312E6D" w:rsidP="00B57333">
      <w:r>
        <w:t>Kirgisistanin</w:t>
      </w:r>
      <w:r w:rsidRPr="00BD5378">
        <w:t xml:space="preserve"> </w:t>
      </w:r>
      <w:r w:rsidR="001E0F86" w:rsidRPr="00AA00F5">
        <w:t>terveydenhuoltojärjestelmä tarjoaa valtion takaaman terveyspalvelujen etuuspaketin, mutta väestön kattavuudessa on puutteita ja julkisesti rahoitettujen terveyspalvelujen laajuus on rajallinen.</w:t>
      </w:r>
      <w:r w:rsidR="00F10963" w:rsidRPr="00AA00F5">
        <w:t xml:space="preserve"> </w:t>
      </w:r>
      <w:r w:rsidR="001E0F86" w:rsidRPr="00AA00F5">
        <w:t xml:space="preserve">Kaikilla perusterveydenhuollon palveluntuottajalle rekisteröityneillä </w:t>
      </w:r>
      <w:r>
        <w:t>Kirgisistanin</w:t>
      </w:r>
      <w:r w:rsidRPr="00BD5378">
        <w:t xml:space="preserve"> </w:t>
      </w:r>
      <w:r w:rsidR="001E0F86" w:rsidRPr="00AA00F5">
        <w:t xml:space="preserve">kansalaisilla on oikeus </w:t>
      </w:r>
      <w:r w:rsidR="00F10963" w:rsidRPr="00AA00F5">
        <w:t xml:space="preserve">SGBP:n (State Guaranteed Benefits Package) </w:t>
      </w:r>
      <w:r w:rsidR="001E0F86" w:rsidRPr="00AA00F5">
        <w:t>peruspalvelukokonaisuuteen. Siihen kuuluvat</w:t>
      </w:r>
      <w:r w:rsidR="00F10963" w:rsidRPr="00AA00F5">
        <w:t xml:space="preserve"> </w:t>
      </w:r>
      <w:r w:rsidR="001E0F86" w:rsidRPr="00AA00F5">
        <w:t>ensihoito,</w:t>
      </w:r>
      <w:r w:rsidR="00F10963" w:rsidRPr="00AA00F5">
        <w:t xml:space="preserve"> </w:t>
      </w:r>
      <w:r w:rsidR="001E0F86" w:rsidRPr="00AA00F5">
        <w:t>perusterveydenhuolto,</w:t>
      </w:r>
      <w:r w:rsidR="00F10963" w:rsidRPr="00AA00F5">
        <w:t xml:space="preserve"> </w:t>
      </w:r>
      <w:r w:rsidR="001E0F86" w:rsidRPr="00AA00F5">
        <w:t>avohoidon erikoissairaanhoito,</w:t>
      </w:r>
      <w:r w:rsidR="00F10963" w:rsidRPr="00AA00F5">
        <w:t xml:space="preserve"> </w:t>
      </w:r>
      <w:r w:rsidR="001E0F86" w:rsidRPr="00AA00F5">
        <w:t>12 keskeistä diagnostista tutkimusta sekä</w:t>
      </w:r>
      <w:r w:rsidR="00F10963" w:rsidRPr="00AA00F5">
        <w:t xml:space="preserve"> </w:t>
      </w:r>
      <w:r w:rsidR="001E0F86" w:rsidRPr="00AA00F5">
        <w:t>avohoidossa käytettävät lääkkeet ja lääkinnälliset tuotteet epilepsiaan, astmaan, skitsofreniaan, mielialahäiriö</w:t>
      </w:r>
      <w:r w:rsidR="00BE72D8">
        <w:t>ö</w:t>
      </w:r>
      <w:r w:rsidR="001E0F86" w:rsidRPr="00AA00F5">
        <w:t>n sekä IV-vaiheen syövän palliatiiviseen hoitoon.</w:t>
      </w:r>
      <w:r w:rsidR="00F10963" w:rsidRPr="00AA00F5">
        <w:t xml:space="preserve"> </w:t>
      </w:r>
      <w:r w:rsidR="001E0F86" w:rsidRPr="00AA00F5">
        <w:t>Henkilöillä, jotka maksavat sairausvakuutusmaksuja sekä henkilöillä, joiden puolesta valtio maksaa nämä maksut, on oikeus SGBP:n laajempaan palvelukokonaisuuteen. Siihen kuuluvat muun muassa</w:t>
      </w:r>
      <w:r w:rsidR="00F10963" w:rsidRPr="00AA00F5">
        <w:t xml:space="preserve"> </w:t>
      </w:r>
      <w:r w:rsidR="001E0F86" w:rsidRPr="00AA00F5">
        <w:t>sairaalahoito,</w:t>
      </w:r>
      <w:r w:rsidR="00F10963" w:rsidRPr="00AA00F5">
        <w:t xml:space="preserve"> </w:t>
      </w:r>
      <w:r w:rsidR="001E0F86" w:rsidRPr="00AA00F5">
        <w:t>ylimääräiset diagnostiset tutkimukset,</w:t>
      </w:r>
      <w:r w:rsidR="00F10963" w:rsidRPr="00AA00F5">
        <w:t xml:space="preserve"> </w:t>
      </w:r>
      <w:r w:rsidR="001E0F86" w:rsidRPr="00AA00F5">
        <w:t>kuntoutus sekä</w:t>
      </w:r>
      <w:r w:rsidR="00F10963" w:rsidRPr="00AA00F5">
        <w:t xml:space="preserve"> </w:t>
      </w:r>
      <w:r w:rsidR="001E0F86" w:rsidRPr="00AA00F5">
        <w:t>fysioterapia.</w:t>
      </w:r>
      <w:r w:rsidR="00F10963" w:rsidRPr="00AA00F5">
        <w:t xml:space="preserve"> </w:t>
      </w:r>
      <w:r w:rsidR="001E0F86" w:rsidRPr="00AA00F5">
        <w:t xml:space="preserve">Heillä on lisäksi oikeus ADP:n </w:t>
      </w:r>
      <w:r w:rsidR="00F10963" w:rsidRPr="00AA00F5">
        <w:t xml:space="preserve">(Additional Drug Package) </w:t>
      </w:r>
      <w:r w:rsidR="001E0F86" w:rsidRPr="00AA00F5">
        <w:t xml:space="preserve">kattamaan laajempaan avohoidon lääkkeiden ja lääkinnällisten tuotteiden valikoimaan. Tähän kuuluu 59 määriteltyä lääkettä ja kolme lääkinnällistä laitetta. ADP kuitenkin korvaa vain 50 </w:t>
      </w:r>
      <w:r w:rsidR="00B57333" w:rsidRPr="00AA00F5">
        <w:t>%</w:t>
      </w:r>
      <w:r w:rsidR="001E0F86" w:rsidRPr="00AA00F5">
        <w:t xml:space="preserve"> määriteltyjen lääkkeiden niin sanotusta perushinnasta perusterveydenhuollossa</w:t>
      </w:r>
      <w:r w:rsidR="00B57333" w:rsidRPr="00AA00F5">
        <w:t>, ja potilaan on maksettava itse vähittäishinnan ja korvattavan perushinnan välinen erotus.</w:t>
      </w:r>
      <w:r w:rsidR="00F10963" w:rsidRPr="00AA00F5">
        <w:t xml:space="preserve"> </w:t>
      </w:r>
      <w:r w:rsidR="001E0F86" w:rsidRPr="00AA00F5">
        <w:t>Lisäksi potilaiden ja palveluntuottajien keskuudessa on epäselvyyttä siitä, mitkä terveyspalvelut kuuluvat julkisen rahoituksen piiriin. Noin kolmasosa väestöstä ei voi hyödyntää SGBP:n ja ADP:n kattamaa laajempaa palvelukokonaisuutta</w:t>
      </w:r>
      <w:r w:rsidR="00B57333" w:rsidRPr="00AA00F5">
        <w:t>.</w:t>
      </w:r>
      <w:r w:rsidR="001E0F86" w:rsidRPr="00AA00F5">
        <w:rPr>
          <w:rStyle w:val="Alaviitteenviite"/>
        </w:rPr>
        <w:footnoteReference w:id="36"/>
      </w:r>
    </w:p>
    <w:p w14:paraId="0FEABF06" w14:textId="1367FF14" w:rsidR="00ED5716" w:rsidRDefault="00312E6D" w:rsidP="00181A83">
      <w:r>
        <w:t>Kirgisistanin</w:t>
      </w:r>
      <w:r w:rsidRPr="00BD5378">
        <w:t xml:space="preserve"> </w:t>
      </w:r>
      <w:r w:rsidR="007E5C7B" w:rsidRPr="00AA00F5">
        <w:t>terveydenhuollon rahoituksessa kotitalouksien suoraan itse maksamien terveydenhuoltomenojen osuus oli 40,7 % kaikista terveydenhuollon menoista vuonna 2021. Osuus on pienentynyt huomattavasti vuode</w:t>
      </w:r>
      <w:r w:rsidR="00A645D1">
        <w:t xml:space="preserve">sta </w:t>
      </w:r>
      <w:r w:rsidR="007E5C7B" w:rsidRPr="00AA00F5">
        <w:t>2016</w:t>
      </w:r>
      <w:r w:rsidR="00A645D1">
        <w:t>, jolloin se oli</w:t>
      </w:r>
      <w:r w:rsidR="007E5C7B" w:rsidRPr="00AA00F5">
        <w:t xml:space="preserve"> 57,2 </w:t>
      </w:r>
      <w:r w:rsidR="00A645D1">
        <w:t>%</w:t>
      </w:r>
      <w:r w:rsidR="007E5C7B" w:rsidRPr="00AA00F5">
        <w:t xml:space="preserve">. </w:t>
      </w:r>
      <w:r w:rsidR="00C70321">
        <w:t>Omakustanteisten terveydenhuollon menojen suuri osuus voi altistaa kotitaloudet taloudellisille vaikeuksille tai muodostaa esteen hoitoon pääsyyn</w:t>
      </w:r>
      <w:r w:rsidR="00ED5716" w:rsidRPr="00AA00F5">
        <w:t xml:space="preserve">. SGBP:n piiriin kuuluminen ei siis välttämättä tarkoita, että henkilö pääsisi tosiasiassa </w:t>
      </w:r>
      <w:r w:rsidR="00A645D1">
        <w:t xml:space="preserve">käyttämään </w:t>
      </w:r>
      <w:r w:rsidR="00ED5716" w:rsidRPr="00AA00F5">
        <w:t xml:space="preserve">täysimääräisesti </w:t>
      </w:r>
      <w:r w:rsidR="00A645D1">
        <w:t>kaikkia</w:t>
      </w:r>
      <w:r w:rsidR="00ED5716" w:rsidRPr="00AA00F5">
        <w:t xml:space="preserve"> </w:t>
      </w:r>
      <w:r w:rsidR="00A645D1">
        <w:t>terveyspalveluja</w:t>
      </w:r>
      <w:r w:rsidR="00ED5716" w:rsidRPr="00AA00F5">
        <w:t>.</w:t>
      </w:r>
      <w:r w:rsidR="00ED5716" w:rsidRPr="00AA00F5">
        <w:rPr>
          <w:rStyle w:val="Alaviitteenviite"/>
        </w:rPr>
        <w:footnoteReference w:id="37"/>
      </w:r>
    </w:p>
    <w:p w14:paraId="072B70C1" w14:textId="18BFF316" w:rsidR="00067E7D" w:rsidRPr="00AA00F5" w:rsidRDefault="00312E6D" w:rsidP="00181A83">
      <w:r>
        <w:t>Kirgisistanin</w:t>
      </w:r>
      <w:r w:rsidRPr="00BD5378">
        <w:t xml:space="preserve"> </w:t>
      </w:r>
      <w:r w:rsidR="00C70321">
        <w:t>sairaalaverkostoa</w:t>
      </w:r>
      <w:r w:rsidR="00067E7D" w:rsidRPr="00AA00F5">
        <w:t xml:space="preserve"> on supistettu merkittävästi viime vuosikymmeninä kustannusten vähentämiseksi sekä perusterveydenhuollon ja ennaltaehkäisevän hoidon vahvistamiseksi. Supistamisesta huolimatta </w:t>
      </w:r>
      <w:r>
        <w:t>Kirgisistanin</w:t>
      </w:r>
      <w:r w:rsidRPr="00BD5378">
        <w:t xml:space="preserve"> </w:t>
      </w:r>
      <w:r w:rsidR="00067E7D" w:rsidRPr="00AA00F5">
        <w:t xml:space="preserve">sairaalaverkoston katsotaan olevan edelleen maan </w:t>
      </w:r>
      <w:r w:rsidR="00067E7D" w:rsidRPr="00AA00F5">
        <w:lastRenderedPageBreak/>
        <w:t>tulotasoon ja väestön nuoreen ikärakenteeseen nähden liian laaja.</w:t>
      </w:r>
      <w:r w:rsidR="00067E7D" w:rsidRPr="00AA00F5">
        <w:rPr>
          <w:rStyle w:val="Alaviitteenviite"/>
        </w:rPr>
        <w:footnoteReference w:id="38"/>
      </w:r>
      <w:r w:rsidR="00A71506" w:rsidRPr="00AA00F5">
        <w:t xml:space="preserve"> </w:t>
      </w:r>
      <w:r>
        <w:t>Kirgisistanin</w:t>
      </w:r>
      <w:r w:rsidRPr="00BD5378">
        <w:t xml:space="preserve"> </w:t>
      </w:r>
      <w:r w:rsidR="00A71506" w:rsidRPr="00AA00F5">
        <w:t>terveydenhuollon henkilöstön määrä on vähentynyt viimeisen vuosikymmenen aikana. Terveydenhuollon henkilöstön ikääntyminen on merkittävä huolenaihe, erityisesti maaseudulla sekä perusterveydenhuollossa. Lisäksi monet lääkärit ja sairaanhoitajat hakevat parempia työ- ja ansaintamahdollisuuksia ulkomailta, mutta ongelman laajuudesta ei ole saatavilla kattavia tietoja.</w:t>
      </w:r>
      <w:r w:rsidR="00A71506" w:rsidRPr="00AA00F5">
        <w:rPr>
          <w:rStyle w:val="Alaviitteenviite"/>
          <w:lang w:val="en-US"/>
        </w:rPr>
        <w:footnoteReference w:id="39"/>
      </w:r>
    </w:p>
    <w:p w14:paraId="3E98681F" w14:textId="22E53752" w:rsidR="00181A83" w:rsidRPr="00AA00F5" w:rsidRDefault="00181A83" w:rsidP="00181A83">
      <w:r w:rsidRPr="00AA00F5">
        <w:t>Terveydenhuollon toimipisteiden</w:t>
      </w:r>
      <w:r w:rsidR="00067E7D" w:rsidRPr="00AA00F5">
        <w:t xml:space="preserve"> </w:t>
      </w:r>
      <w:r w:rsidRPr="00AA00F5">
        <w:t xml:space="preserve">sijainti mahdollistaa sen, että suurin osa väestöstä pääsee fyysisesti perusterveydenhuollon piiriin. Käytössä on myös järjestelmiä, joiden avulla potilaita voidaan tarvittaessa ohjata </w:t>
      </w:r>
      <w:r w:rsidR="00C70321">
        <w:t>erikoissairaanhoitoon</w:t>
      </w:r>
      <w:r w:rsidRPr="00AA00F5">
        <w:t xml:space="preserve">. Tästä huolimatta joillakin syrjäisillä ja vuoristoisilla alueilla on maantieteellisiä esteitä terveyspalvelujen saatavuudelle, ja palveluihin pääsy on rajallista. Lisäksi perusterveydenhuollossa on noin 3 000 täyttämätöntä lääkärin virkaa. Vuonna 2021 </w:t>
      </w:r>
      <w:r w:rsidR="00312E6D">
        <w:t>Kirgisistanissa</w:t>
      </w:r>
      <w:r w:rsidRPr="00AA00F5">
        <w:t xml:space="preserve"> oli 215 lääkäriä 100 000 asukasta kohden ja vuonna 2020 </w:t>
      </w:r>
      <w:r w:rsidR="00067E7D" w:rsidRPr="00AA00F5">
        <w:t xml:space="preserve">yhteensä </w:t>
      </w:r>
      <w:r w:rsidRPr="00AA00F5">
        <w:t>407 sairaanhoitajaa 100 000 asukasta kohden. Nämä olivat WHO:n Euroopan alueen alhaisimpia tasoja. Terveydenhuollon työntekijät ovat lisäksi jakautuneet epätasaisesti eri puolille maata. Alueiden välillä on suuria eroja, ja maaseudulla on pulaa erityisesti erikoislääkäreistä ja perhelääkäreistä</w:t>
      </w:r>
      <w:r w:rsidR="00067E7D" w:rsidRPr="00AA00F5">
        <w:t xml:space="preserve">. </w:t>
      </w:r>
      <w:r w:rsidRPr="00AA00F5">
        <w:t>Vuonna 2021 lääkäreiden määrä oli suurimmillaan Biškekissä ja Ošissa. COVID-19-pandemia näyttää lisänneen alueellista epätasapainoa. Lääkäreitä siirtyi maaseudun perusterveydenhuollon tehtävistä sairaaloihin, joissa palkkaus oli parempi. Sairaanhoitajien saatavuutta pidetään yleisesti riittävänä, vaikka esimerkiksi Biškekissä ja Ošissa on pulaa sairaanhoitajista.</w:t>
      </w:r>
      <w:r w:rsidRPr="00AA00F5">
        <w:rPr>
          <w:rStyle w:val="Alaviitteenviite"/>
        </w:rPr>
        <w:footnoteReference w:id="40"/>
      </w:r>
    </w:p>
    <w:p w14:paraId="6B783AD6" w14:textId="38843253" w:rsidR="00181A83" w:rsidRPr="00AA00F5" w:rsidRDefault="00181A83" w:rsidP="00181A83">
      <w:r w:rsidRPr="00AA00F5">
        <w:t>Kaupunkialueilla terveyspalvelut ovat maantieteellisesti helpommin saavutettavissa</w:t>
      </w:r>
      <w:r w:rsidR="00A645D1">
        <w:t xml:space="preserve"> kuin maaseutualueilla</w:t>
      </w:r>
      <w:r w:rsidRPr="00AA00F5">
        <w:t xml:space="preserve">. </w:t>
      </w:r>
      <w:r w:rsidR="00C70321" w:rsidRPr="00C70321">
        <w:t>Maaseudulta ja pienistä kaupungeista suurempiin kaupunkeihin muuttaneilla henkilöillä on esteitä terveyspalveluihin pääsyssä. Heillä on haasteita esimerkiksi pakolliseen sairausvakuutusjärjestelmään liittymisessä, koska vakuutukseen rekisteröityminen edellyttää rekisteröitymistä ja henkilöllisyysasiakirjoja, joita heillä ei aina ole</w:t>
      </w:r>
      <w:r w:rsidRPr="00AA00F5">
        <w:t>.</w:t>
      </w:r>
      <w:r w:rsidRPr="00AA00F5">
        <w:rPr>
          <w:rStyle w:val="Alaviitteenviite"/>
        </w:rPr>
        <w:footnoteReference w:id="41"/>
      </w:r>
    </w:p>
    <w:p w14:paraId="3007630B" w14:textId="66146715" w:rsidR="001534D5" w:rsidRPr="00AA00F5" w:rsidRDefault="00312E6D" w:rsidP="0095541C">
      <w:r>
        <w:t xml:space="preserve">Kirgisistanin </w:t>
      </w:r>
      <w:r w:rsidR="00181A83" w:rsidRPr="00AA00F5">
        <w:t xml:space="preserve">terveyspolitiikassa on kiinnitetty erityistä huomiota äitien ja lasten terveyden parantamiseen, ja tätä varten on laadittu useita kansallisia strategioita. Raskaana olevilla naisilla, synnyttäjillä, raskauteen tai synnytykseen liittyvistä komplikaatioista kärsivillä naisilla sekä alle 6-vuotiailla lapsilla on oikeus maksuttomaan sairaalahoitoon. Vuodesta 2015 lähtien </w:t>
      </w:r>
      <w:r w:rsidR="001534D5" w:rsidRPr="00AA00F5">
        <w:t>pakollinen sairausvakuutusjärjestelmä</w:t>
      </w:r>
      <w:r w:rsidR="00181A83" w:rsidRPr="00AA00F5">
        <w:t xml:space="preserve"> on lisäksi järjestänyt raskaana oleville naisille sairausvakuutuksen, jotta myös vakuuttamattomilla naisilla olisi paremmat mahdollisuudet saada </w:t>
      </w:r>
      <w:r w:rsidR="00C70321">
        <w:t>korvauksen piiriin kuuluvia</w:t>
      </w:r>
      <w:r w:rsidR="00181A83" w:rsidRPr="00AA00F5">
        <w:t xml:space="preserve"> lääkkeitä.</w:t>
      </w:r>
      <w:r w:rsidR="001534D5" w:rsidRPr="00AA00F5">
        <w:rPr>
          <w:rStyle w:val="Alaviitteenviite"/>
        </w:rPr>
        <w:footnoteReference w:id="42"/>
      </w:r>
    </w:p>
    <w:p w14:paraId="1A717202" w14:textId="6EDC45CB" w:rsidR="00567BD9" w:rsidRPr="0095541C" w:rsidRDefault="00181A83" w:rsidP="00543F66">
      <w:r w:rsidRPr="00AA00F5">
        <w:t>HIV:n/aidsin, tuberkuloosin ja mielenterveyspalvelujen saatavuutta on pyritty parantamaan määrätietoisesti</w:t>
      </w:r>
      <w:r w:rsidR="00101093" w:rsidRPr="00AA00F5">
        <w:t xml:space="preserve"> eri pilottihankkeilla. Kuitenkin pääsy HIV</w:t>
      </w:r>
      <w:r w:rsidR="00BE72D8">
        <w:t>:n</w:t>
      </w:r>
      <w:r w:rsidR="00101093" w:rsidRPr="00AA00F5">
        <w:t>/</w:t>
      </w:r>
      <w:r w:rsidR="00BE72D8">
        <w:t>aidsin</w:t>
      </w:r>
      <w:r w:rsidR="00101093" w:rsidRPr="00AA00F5">
        <w:t xml:space="preserve"> ja tuberkuloosin diagnosointiin ja hoitoon on edelleen kansanterveydellinen huolenaihe.</w:t>
      </w:r>
      <w:r w:rsidR="0095541C" w:rsidRPr="00AA00F5">
        <w:t xml:space="preserve"> HIV-</w:t>
      </w:r>
      <w:r w:rsidR="000C27F8">
        <w:t>potilaille tarjottavien palvelujen</w:t>
      </w:r>
      <w:r w:rsidR="0095541C" w:rsidRPr="00AA00F5">
        <w:t xml:space="preserve"> lisääminen perusterveydenhuollossa ja yhteisötasolla on parantanut </w:t>
      </w:r>
      <w:r w:rsidR="000C27F8">
        <w:t>HIV-potilaiden tilannetta</w:t>
      </w:r>
      <w:r w:rsidR="00101093" w:rsidRPr="00AA00F5">
        <w:t xml:space="preserve">. </w:t>
      </w:r>
      <w:r w:rsidR="0095541C" w:rsidRPr="00AA00F5">
        <w:t xml:space="preserve">COVID-19-pandemia kuitenkin vaikeutti testaukseen ja hoitoon pääsyä. </w:t>
      </w:r>
      <w:r w:rsidR="000C27F8" w:rsidRPr="000C27F8">
        <w:t>Henkilöstön vähäinen motivaatio sekä HIV-potilaiden edelleen kohtaama stigma hankaloittavat palvelujen saatavuutta</w:t>
      </w:r>
      <w:r w:rsidR="0095541C" w:rsidRPr="00AA00F5">
        <w:t xml:space="preserve">. </w:t>
      </w:r>
      <w:r w:rsidR="00312E6D">
        <w:t>Kirgisistanin</w:t>
      </w:r>
      <w:r w:rsidR="00312E6D" w:rsidRPr="00BD5378">
        <w:t xml:space="preserve"> </w:t>
      </w:r>
      <w:r w:rsidR="0095541C" w:rsidRPr="00AA00F5">
        <w:t>on edelleen yksi niistä 30 maailman maasta, joissa monilääkeresistentin tuberkuloosin esiintyvyys on suurinta.</w:t>
      </w:r>
      <w:r w:rsidR="00101093" w:rsidRPr="00AA00F5">
        <w:t xml:space="preserve"> </w:t>
      </w:r>
      <w:r w:rsidR="0095541C" w:rsidRPr="00AA00F5">
        <w:t>Viime vuosina perusterveydenhuollon roolia on vahvistettu</w:t>
      </w:r>
      <w:r w:rsidR="00101093" w:rsidRPr="00AA00F5">
        <w:t xml:space="preserve"> tuberkuloosin hoidossa</w:t>
      </w:r>
      <w:r w:rsidR="0095541C" w:rsidRPr="00AA00F5">
        <w:t>.</w:t>
      </w:r>
      <w:r w:rsidR="00101093" w:rsidRPr="00AA00F5">
        <w:t xml:space="preserve"> </w:t>
      </w:r>
      <w:r w:rsidR="0095541C" w:rsidRPr="00AA00F5">
        <w:t xml:space="preserve">Tästä huolimatta tuberkuloosipalvelujen parantamiseen liittyy edelleen merkittäviä esteitä. Myös avohoidon </w:t>
      </w:r>
      <w:r w:rsidR="0095541C" w:rsidRPr="00AA00F5">
        <w:lastRenderedPageBreak/>
        <w:t>mielenterveyspalvelujen osalta on tunnistettu tarve vahvistaa perusterveydenhuollon palveluja, mutta niiden kehittäminen on vielä alkuvaiheessa.</w:t>
      </w:r>
      <w:r w:rsidRPr="00AA00F5">
        <w:rPr>
          <w:rStyle w:val="Alaviitteenviite"/>
        </w:rPr>
        <w:footnoteReference w:id="43"/>
      </w:r>
    </w:p>
    <w:bookmarkEnd w:id="1"/>
    <w:p w14:paraId="11597169" w14:textId="77777777" w:rsidR="00082DFE" w:rsidRPr="005030A0" w:rsidRDefault="00082DFE" w:rsidP="00543F66">
      <w:pPr>
        <w:pStyle w:val="Otsikko2"/>
        <w:numPr>
          <w:ilvl w:val="0"/>
          <w:numId w:val="0"/>
        </w:numPr>
        <w:rPr>
          <w:lang w:val="en-US"/>
        </w:rPr>
      </w:pPr>
      <w:r w:rsidRPr="005030A0">
        <w:rPr>
          <w:lang w:val="en-US"/>
        </w:rPr>
        <w:t>Lähteet</w:t>
      </w:r>
    </w:p>
    <w:p w14:paraId="5B7CB20B" w14:textId="4AB30A51" w:rsidR="00912CDD" w:rsidRPr="005030A0" w:rsidRDefault="00912CDD" w:rsidP="00AF0FD6">
      <w:pPr>
        <w:jc w:val="left"/>
        <w:rPr>
          <w:lang w:val="sv-SE"/>
        </w:rPr>
      </w:pPr>
      <w:r>
        <w:rPr>
          <w:lang w:val="en-US"/>
        </w:rPr>
        <w:t xml:space="preserve">Amnesty International 4/2026. </w:t>
      </w:r>
      <w:r w:rsidRPr="000C123B">
        <w:rPr>
          <w:i/>
          <w:iCs/>
          <w:lang w:val="en-US"/>
        </w:rPr>
        <w:t>The State of the World's Human Rights; Kyrgyzstan 2025.</w:t>
      </w:r>
      <w:r>
        <w:rPr>
          <w:lang w:val="en-US"/>
        </w:rPr>
        <w:t xml:space="preserve"> </w:t>
      </w:r>
      <w:hyperlink r:id="rId8" w:history="1">
        <w:r w:rsidRPr="005030A0">
          <w:rPr>
            <w:rStyle w:val="Hyperlinkki"/>
            <w:lang w:val="sv-SE"/>
          </w:rPr>
          <w:t>https://www.ecoi.net/en/document/2139339.html</w:t>
        </w:r>
      </w:hyperlink>
      <w:r w:rsidRPr="005030A0">
        <w:rPr>
          <w:lang w:val="sv-SE"/>
        </w:rPr>
        <w:t xml:space="preserve"> (käyty 28.9.</w:t>
      </w:r>
      <w:r w:rsidR="00AF0FD6" w:rsidRPr="005030A0">
        <w:rPr>
          <w:lang w:val="sv-SE"/>
        </w:rPr>
        <w:t>2026).</w:t>
      </w:r>
    </w:p>
    <w:p w14:paraId="26A80637" w14:textId="48C227C6" w:rsidR="00C14080" w:rsidRPr="005030A0" w:rsidRDefault="000329AE" w:rsidP="00AF0FD6">
      <w:pPr>
        <w:jc w:val="left"/>
        <w:rPr>
          <w:lang w:val="sv-SE"/>
        </w:rPr>
      </w:pPr>
      <w:r w:rsidRPr="005030A0">
        <w:rPr>
          <w:lang w:val="sv-SE"/>
        </w:rPr>
        <w:t xml:space="preserve">Bertelsmann Stiftung </w:t>
      </w:r>
    </w:p>
    <w:p w14:paraId="6F394D65" w14:textId="3023BCBA" w:rsidR="00C14080" w:rsidRPr="00C14080" w:rsidRDefault="00C14080" w:rsidP="000C123B">
      <w:pPr>
        <w:ind w:left="720"/>
        <w:jc w:val="left"/>
      </w:pPr>
      <w:r w:rsidRPr="005030A0">
        <w:rPr>
          <w:lang w:val="sv-SE"/>
        </w:rPr>
        <w:t xml:space="preserve">2026. </w:t>
      </w:r>
      <w:r w:rsidRPr="000C123B">
        <w:rPr>
          <w:i/>
          <w:iCs/>
        </w:rPr>
        <w:t>BTI 2026 Country Report — Kyrgyzstan</w:t>
      </w:r>
      <w:r w:rsidRPr="008E1879">
        <w:t xml:space="preserve"> [tarkasteluajanjakso 1.2.2023–31.1.2025]. </w:t>
      </w:r>
      <w:hyperlink r:id="rId9" w:history="1">
        <w:r w:rsidR="000C123B" w:rsidRPr="006B1435">
          <w:rPr>
            <w:rStyle w:val="Hyperlinkki"/>
          </w:rPr>
          <w:t>https://www.ecoi.net/en/file/local/2138418/country_report_2026_KGZ.pdf</w:t>
        </w:r>
      </w:hyperlink>
      <w:r w:rsidRPr="00C14080">
        <w:t xml:space="preserve"> (kä</w:t>
      </w:r>
      <w:r>
        <w:t>yty 28.9.2026).</w:t>
      </w:r>
    </w:p>
    <w:p w14:paraId="2F608670" w14:textId="2C7ED36D" w:rsidR="00873A37" w:rsidRDefault="000329AE" w:rsidP="000C123B">
      <w:pPr>
        <w:ind w:left="720"/>
        <w:jc w:val="left"/>
      </w:pPr>
      <w:r w:rsidRPr="008E1879">
        <w:t xml:space="preserve">2024. </w:t>
      </w:r>
      <w:r w:rsidRPr="000C123B">
        <w:rPr>
          <w:i/>
          <w:iCs/>
        </w:rPr>
        <w:t>BTI 2024 Country Report — Kyrgyzstan</w:t>
      </w:r>
      <w:r w:rsidRPr="008E1879">
        <w:t xml:space="preserve"> [tarkasteluajanjakso </w:t>
      </w:r>
      <w:r w:rsidR="00C14080" w:rsidRPr="008E1879">
        <w:t xml:space="preserve">1.2.2021–31.1.2023]. </w:t>
      </w:r>
      <w:hyperlink r:id="rId10" w:history="1">
        <w:r w:rsidR="000C123B" w:rsidRPr="006B1435">
          <w:rPr>
            <w:rStyle w:val="Hyperlinkki"/>
          </w:rPr>
          <w:t>https://bti-project.org/fileadmin/api/content/en/downloads/reports/country_report_2024_KGZ.pdf</w:t>
        </w:r>
      </w:hyperlink>
      <w:r w:rsidR="00C14080" w:rsidRPr="00C14080">
        <w:t xml:space="preserve"> (kä</w:t>
      </w:r>
      <w:r w:rsidR="00C14080">
        <w:t>yty 28.9.2026).</w:t>
      </w:r>
    </w:p>
    <w:p w14:paraId="58FA7FFE" w14:textId="7F7F6A91" w:rsidR="00912CDD" w:rsidRPr="00912CDD" w:rsidRDefault="00912CDD" w:rsidP="00AF0FD6">
      <w:pPr>
        <w:jc w:val="left"/>
      </w:pPr>
      <w:r>
        <w:rPr>
          <w:lang w:val="en-US"/>
        </w:rPr>
        <w:t xml:space="preserve">Forum 18 25.2.2025. </w:t>
      </w:r>
      <w:r w:rsidRPr="000C123B">
        <w:rPr>
          <w:i/>
          <w:iCs/>
          <w:lang w:val="en-US"/>
        </w:rPr>
        <w:t>KYRGYZSTAN: Religious freedom survey, February 2025.</w:t>
      </w:r>
      <w:r>
        <w:rPr>
          <w:lang w:val="en-US"/>
        </w:rPr>
        <w:t xml:space="preserve"> </w:t>
      </w:r>
      <w:hyperlink r:id="rId11" w:history="1">
        <w:r w:rsidRPr="00912CDD">
          <w:rPr>
            <w:rStyle w:val="Hyperlinkki"/>
          </w:rPr>
          <w:t>https://www.forum18.org/archive.php?article_id=2961&amp;utm</w:t>
        </w:r>
      </w:hyperlink>
      <w:r w:rsidRPr="00912CDD">
        <w:t xml:space="preserve"> (käy</w:t>
      </w:r>
      <w:r>
        <w:t>ty 5.10.2026).</w:t>
      </w:r>
    </w:p>
    <w:p w14:paraId="713D7C60" w14:textId="77777777" w:rsidR="000C123B" w:rsidRDefault="00C14080" w:rsidP="00AF0FD6">
      <w:pPr>
        <w:jc w:val="left"/>
        <w:rPr>
          <w:lang w:val="en-US"/>
        </w:rPr>
      </w:pPr>
      <w:r w:rsidRPr="00C14080">
        <w:rPr>
          <w:lang w:val="en-US"/>
        </w:rPr>
        <w:t xml:space="preserve">Freedom House </w:t>
      </w:r>
    </w:p>
    <w:p w14:paraId="7EE44184" w14:textId="4DE29FDF" w:rsidR="00C14080" w:rsidRDefault="00C14080" w:rsidP="000C123B">
      <w:pPr>
        <w:ind w:left="720"/>
        <w:jc w:val="left"/>
        <w:rPr>
          <w:lang w:val="en-US"/>
        </w:rPr>
      </w:pPr>
      <w:r w:rsidRPr="00C14080">
        <w:rPr>
          <w:lang w:val="en-US"/>
        </w:rPr>
        <w:t xml:space="preserve">2026. </w:t>
      </w:r>
      <w:r w:rsidRPr="000C123B">
        <w:rPr>
          <w:i/>
          <w:iCs/>
          <w:lang w:val="en-US"/>
        </w:rPr>
        <w:t>Freedom in the World 2026: Kyrgyzstan.</w:t>
      </w:r>
      <w:r w:rsidRPr="00C14080">
        <w:rPr>
          <w:lang w:val="en-US"/>
        </w:rPr>
        <w:t xml:space="preserve"> </w:t>
      </w:r>
      <w:hyperlink r:id="rId12" w:history="1">
        <w:r w:rsidR="000C123B" w:rsidRPr="006B1435">
          <w:rPr>
            <w:rStyle w:val="Hyperlinkki"/>
            <w:lang w:val="en-US"/>
          </w:rPr>
          <w:t>https://freedomhouse.org/country/kyrgyzstan/freedom-world/2026</w:t>
        </w:r>
      </w:hyperlink>
      <w:r>
        <w:rPr>
          <w:lang w:val="en-US"/>
        </w:rPr>
        <w:t xml:space="preserve"> (käyty 2.10.2026).</w:t>
      </w:r>
    </w:p>
    <w:p w14:paraId="740A8F2B" w14:textId="623946BB" w:rsidR="00912CDD" w:rsidRDefault="00912CDD" w:rsidP="000C123B">
      <w:pPr>
        <w:ind w:left="720"/>
        <w:jc w:val="left"/>
        <w:rPr>
          <w:lang w:val="en-US"/>
        </w:rPr>
      </w:pPr>
      <w:r>
        <w:rPr>
          <w:lang w:val="en-US"/>
        </w:rPr>
        <w:t>2025</w:t>
      </w:r>
      <w:r w:rsidRPr="000C123B">
        <w:rPr>
          <w:i/>
          <w:iCs/>
          <w:lang w:val="en-US"/>
        </w:rPr>
        <w:t>. Freedom in the World 2025: Kyrgyzstan.</w:t>
      </w:r>
      <w:r>
        <w:rPr>
          <w:lang w:val="en-US"/>
        </w:rPr>
        <w:t xml:space="preserve"> </w:t>
      </w:r>
      <w:hyperlink r:id="rId13" w:history="1">
        <w:r w:rsidR="000C123B" w:rsidRPr="006B1435">
          <w:rPr>
            <w:rStyle w:val="Hyperlinkki"/>
            <w:lang w:val="en-US"/>
          </w:rPr>
          <w:t>https://freedomhouse.org/country/kyrgyzstan/freedom-world/2025</w:t>
        </w:r>
      </w:hyperlink>
      <w:r>
        <w:rPr>
          <w:lang w:val="en-US"/>
        </w:rPr>
        <w:t xml:space="preserve"> (käyty 2.10.2026).</w:t>
      </w:r>
    </w:p>
    <w:p w14:paraId="17283351" w14:textId="2170865C" w:rsidR="00C14080" w:rsidRPr="00C14080" w:rsidRDefault="00C14080" w:rsidP="000C123B">
      <w:pPr>
        <w:ind w:left="720"/>
        <w:jc w:val="left"/>
        <w:rPr>
          <w:lang w:val="en-US"/>
        </w:rPr>
      </w:pPr>
      <w:r>
        <w:rPr>
          <w:lang w:val="en-US"/>
        </w:rPr>
        <w:t xml:space="preserve">2024. </w:t>
      </w:r>
      <w:r w:rsidRPr="000C123B">
        <w:rPr>
          <w:i/>
          <w:iCs/>
          <w:lang w:val="en-US"/>
        </w:rPr>
        <w:t>Freedom in the World 2024: Kyrgyzstan.</w:t>
      </w:r>
      <w:r>
        <w:rPr>
          <w:lang w:val="en-US"/>
        </w:rPr>
        <w:t xml:space="preserve"> </w:t>
      </w:r>
      <w:hyperlink r:id="rId14" w:history="1">
        <w:r w:rsidR="000C123B" w:rsidRPr="006B1435">
          <w:rPr>
            <w:rStyle w:val="Hyperlinkki"/>
            <w:lang w:val="en-US"/>
          </w:rPr>
          <w:t>https://freedomhouse.org/country/kyrgyzstan/freedom-world/2024</w:t>
        </w:r>
      </w:hyperlink>
      <w:r>
        <w:rPr>
          <w:lang w:val="en-US"/>
        </w:rPr>
        <w:t xml:space="preserve"> (käyty 2.10.2026).</w:t>
      </w:r>
    </w:p>
    <w:p w14:paraId="79985FF3" w14:textId="769FE9EB" w:rsidR="00912CDD" w:rsidRPr="005030A0" w:rsidRDefault="00912CDD" w:rsidP="00AF0FD6">
      <w:pPr>
        <w:jc w:val="left"/>
        <w:rPr>
          <w:lang w:val="en-US"/>
        </w:rPr>
      </w:pPr>
      <w:r>
        <w:rPr>
          <w:lang w:val="en-US"/>
        </w:rPr>
        <w:t xml:space="preserve">HRW </w:t>
      </w:r>
      <w:r w:rsidR="000C123B">
        <w:rPr>
          <w:lang w:val="en-US"/>
        </w:rPr>
        <w:t xml:space="preserve">(Human Rights Watch) </w:t>
      </w:r>
      <w:r>
        <w:rPr>
          <w:lang w:val="en-US"/>
        </w:rPr>
        <w:t xml:space="preserve">2026. </w:t>
      </w:r>
      <w:r w:rsidRPr="000C123B">
        <w:rPr>
          <w:i/>
          <w:iCs/>
          <w:lang w:val="en-US"/>
        </w:rPr>
        <w:t>Kyrgyzstan - Events of 2025</w:t>
      </w:r>
      <w:r>
        <w:rPr>
          <w:lang w:val="en-US"/>
        </w:rPr>
        <w:t xml:space="preserve">. </w:t>
      </w:r>
      <w:hyperlink r:id="rId15" w:history="1">
        <w:r w:rsidRPr="005030A0">
          <w:rPr>
            <w:rStyle w:val="Hyperlinkki"/>
            <w:lang w:val="en-US"/>
          </w:rPr>
          <w:t>https://www.hrw.org/world-report/2026/country-chapters/kyrgyzstan</w:t>
        </w:r>
      </w:hyperlink>
      <w:r w:rsidRPr="005030A0">
        <w:rPr>
          <w:lang w:val="en-US"/>
        </w:rPr>
        <w:t xml:space="preserve"> (käyty 2.10.2026).</w:t>
      </w:r>
    </w:p>
    <w:p w14:paraId="2EAB7668" w14:textId="77777777" w:rsidR="000C123B" w:rsidRDefault="00C14080" w:rsidP="00AF0FD6">
      <w:pPr>
        <w:jc w:val="left"/>
        <w:rPr>
          <w:lang w:val="en-US"/>
        </w:rPr>
      </w:pPr>
      <w:r w:rsidRPr="00C14080">
        <w:rPr>
          <w:lang w:val="en-US"/>
        </w:rPr>
        <w:t xml:space="preserve">IPHR </w:t>
      </w:r>
      <w:r>
        <w:rPr>
          <w:lang w:val="en-US"/>
        </w:rPr>
        <w:t xml:space="preserve">(International Partnership for Human Rights) </w:t>
      </w:r>
    </w:p>
    <w:p w14:paraId="0DAD8E7D" w14:textId="771A00F2" w:rsidR="00C14080" w:rsidRDefault="00C14080" w:rsidP="000C123B">
      <w:pPr>
        <w:ind w:left="720"/>
        <w:jc w:val="left"/>
      </w:pPr>
      <w:r w:rsidRPr="00C14080">
        <w:rPr>
          <w:lang w:val="en-US"/>
        </w:rPr>
        <w:t xml:space="preserve">2.9.2026. </w:t>
      </w:r>
      <w:r w:rsidRPr="000C123B">
        <w:rPr>
          <w:i/>
          <w:iCs/>
          <w:lang w:val="en-US"/>
        </w:rPr>
        <w:t xml:space="preserve">Kyrgyzstan: Hopes for a Thaw Recede Amid Renewed Persecution of Critical Voices. </w:t>
      </w:r>
      <w:hyperlink r:id="rId16" w:history="1">
        <w:r w:rsidR="000C123B" w:rsidRPr="006B1435">
          <w:rPr>
            <w:rStyle w:val="Hyperlinkki"/>
          </w:rPr>
          <w:t>https://iphronline.org/articles/kyrgyzstan-hopes-for-a-thaw-recede-amid-renewed-persecution-of-critical-voices/</w:t>
        </w:r>
      </w:hyperlink>
      <w:r w:rsidRPr="00C14080">
        <w:t xml:space="preserve"> (käyty 2.10.2026).</w:t>
      </w:r>
    </w:p>
    <w:p w14:paraId="7715B958" w14:textId="13F5E261" w:rsidR="00A53398" w:rsidRPr="00A53398" w:rsidRDefault="00A53398" w:rsidP="000C123B">
      <w:pPr>
        <w:ind w:left="720"/>
        <w:jc w:val="left"/>
      </w:pPr>
      <w:r w:rsidRPr="00A53398">
        <w:rPr>
          <w:lang w:val="en-US"/>
        </w:rPr>
        <w:t xml:space="preserve">2025. </w:t>
      </w:r>
      <w:r w:rsidRPr="000C123B">
        <w:rPr>
          <w:i/>
          <w:iCs/>
          <w:lang w:val="en-US"/>
        </w:rPr>
        <w:t>REPORT ON THE RESULTS OF MONITORING THE CRIMINAL JUSTICE SYSTEM OF THE KYRGYZ REPUBLIC - SUMMARY Area 6: Pre-Trial Stage</w:t>
      </w:r>
      <w:r>
        <w:rPr>
          <w:lang w:val="en-US"/>
        </w:rPr>
        <w:t xml:space="preserve">. </w:t>
      </w:r>
      <w:hyperlink r:id="rId17" w:history="1">
        <w:r w:rsidRPr="00A53398">
          <w:rPr>
            <w:rStyle w:val="Hyperlinkki"/>
          </w:rPr>
          <w:t>https://iphronline.org/wp-content/uploads/2025/04/eng-summary-of-analytical-report-on-the-pre-trial-stage-in-kyrgyz-r.pdf</w:t>
        </w:r>
      </w:hyperlink>
      <w:r w:rsidRPr="00A53398">
        <w:t xml:space="preserve"> </w:t>
      </w:r>
      <w:r w:rsidRPr="00C14080">
        <w:t>(kä</w:t>
      </w:r>
      <w:r>
        <w:t>yty 5.10.2026).</w:t>
      </w:r>
    </w:p>
    <w:p w14:paraId="34A97083" w14:textId="2B53D04C" w:rsidR="00C14080" w:rsidRPr="00C14080" w:rsidRDefault="00C14080" w:rsidP="000C123B">
      <w:pPr>
        <w:ind w:left="720"/>
        <w:jc w:val="left"/>
      </w:pPr>
      <w:r w:rsidRPr="00C14080">
        <w:rPr>
          <w:lang w:val="en-US"/>
        </w:rPr>
        <w:t xml:space="preserve">22.4.2025. </w:t>
      </w:r>
      <w:r w:rsidRPr="000C123B">
        <w:rPr>
          <w:i/>
          <w:iCs/>
          <w:lang w:val="en-US"/>
        </w:rPr>
        <w:t>Monitoring the Criminal Justice Sector in Kyrgyzstan: Trial Stage.</w:t>
      </w:r>
      <w:r>
        <w:rPr>
          <w:lang w:val="en-US"/>
        </w:rPr>
        <w:t xml:space="preserve"> </w:t>
      </w:r>
      <w:hyperlink r:id="rId18" w:history="1">
        <w:r w:rsidR="000C123B" w:rsidRPr="006B1435">
          <w:rPr>
            <w:rStyle w:val="Hyperlinkki"/>
          </w:rPr>
          <w:t>https://iphronline.org/articles/monitoring-the-criminal-justice-sector-in-kyrgyzstan-trial-stage/</w:t>
        </w:r>
      </w:hyperlink>
      <w:r w:rsidRPr="00C14080">
        <w:t xml:space="preserve"> (kä</w:t>
      </w:r>
      <w:r>
        <w:t>yty 5.10.2026).</w:t>
      </w:r>
    </w:p>
    <w:p w14:paraId="0C2838DD" w14:textId="64676EAC" w:rsidR="00C14080" w:rsidRDefault="00C14080" w:rsidP="000C123B">
      <w:pPr>
        <w:ind w:left="720"/>
        <w:jc w:val="left"/>
      </w:pPr>
      <w:r w:rsidRPr="00C14080">
        <w:rPr>
          <w:lang w:val="en-US"/>
        </w:rPr>
        <w:t xml:space="preserve">10.4.2025. </w:t>
      </w:r>
      <w:r w:rsidRPr="000C123B">
        <w:rPr>
          <w:i/>
          <w:iCs/>
          <w:lang w:val="en-US"/>
        </w:rPr>
        <w:t>Monitoring the Criminal Justice Sector in Kyrgyzstan: The Judicial System</w:t>
      </w:r>
      <w:r>
        <w:rPr>
          <w:lang w:val="en-US"/>
        </w:rPr>
        <w:t xml:space="preserve">. </w:t>
      </w:r>
      <w:hyperlink r:id="rId19" w:history="1">
        <w:r w:rsidR="000C123B" w:rsidRPr="006B1435">
          <w:rPr>
            <w:rStyle w:val="Hyperlinkki"/>
          </w:rPr>
          <w:t>https://iphronline.org/articles/monitoring-the-criminal-justice-sector-in-kyrgyzstan-the-judicial-system/</w:t>
        </w:r>
      </w:hyperlink>
      <w:r w:rsidRPr="00C14080">
        <w:t xml:space="preserve"> (kä</w:t>
      </w:r>
      <w:r>
        <w:t>yty 5.10.2026).</w:t>
      </w:r>
    </w:p>
    <w:p w14:paraId="391462D3" w14:textId="37D3610D" w:rsidR="00A53398" w:rsidRPr="00A53398" w:rsidRDefault="00A53398" w:rsidP="000C123B">
      <w:pPr>
        <w:ind w:left="720"/>
        <w:jc w:val="left"/>
      </w:pPr>
      <w:r>
        <w:rPr>
          <w:lang w:val="en-US"/>
        </w:rPr>
        <w:lastRenderedPageBreak/>
        <w:t xml:space="preserve">8.4.2025. </w:t>
      </w:r>
      <w:r w:rsidRPr="000C123B">
        <w:rPr>
          <w:i/>
          <w:iCs/>
          <w:lang w:val="en-US"/>
        </w:rPr>
        <w:t>Monitoring the Criminal Justice Sector in Kyrgyzstan: Pre-Trial Stage.</w:t>
      </w:r>
      <w:r>
        <w:rPr>
          <w:lang w:val="en-US"/>
        </w:rPr>
        <w:t xml:space="preserve"> </w:t>
      </w:r>
      <w:hyperlink r:id="rId20" w:history="1">
        <w:r w:rsidR="000C123B" w:rsidRPr="006B1435">
          <w:rPr>
            <w:rStyle w:val="Hyperlinkki"/>
          </w:rPr>
          <w:t>https://iphronline.org/articles/monitoring-the-criminal-justice-sector-in-kyrgyzstan-pre-trial-stage/</w:t>
        </w:r>
      </w:hyperlink>
      <w:r w:rsidRPr="00A53398">
        <w:t xml:space="preserve"> </w:t>
      </w:r>
      <w:r w:rsidRPr="00C14080">
        <w:t>(kä</w:t>
      </w:r>
      <w:r>
        <w:t>yty 5.10.2026).</w:t>
      </w:r>
    </w:p>
    <w:p w14:paraId="63B7E4FF" w14:textId="0B633712" w:rsidR="00C14080" w:rsidRDefault="00C14080" w:rsidP="000C123B">
      <w:pPr>
        <w:ind w:left="720"/>
        <w:jc w:val="left"/>
      </w:pPr>
      <w:r w:rsidRPr="00C14080">
        <w:rPr>
          <w:lang w:val="en-US"/>
        </w:rPr>
        <w:t xml:space="preserve">26.3.2025. </w:t>
      </w:r>
      <w:r w:rsidRPr="000C123B">
        <w:rPr>
          <w:i/>
          <w:iCs/>
          <w:lang w:val="en-US"/>
        </w:rPr>
        <w:t>Monitoring the Criminal Justice Sector in Kyrgyzstan: Legal Aid.</w:t>
      </w:r>
      <w:r>
        <w:rPr>
          <w:lang w:val="en-US"/>
        </w:rPr>
        <w:t xml:space="preserve"> </w:t>
      </w:r>
      <w:hyperlink r:id="rId21" w:history="1">
        <w:r w:rsidR="000C123B" w:rsidRPr="006B1435">
          <w:rPr>
            <w:rStyle w:val="Hyperlinkki"/>
          </w:rPr>
          <w:t>https://iphronline.org/articles/monitoring-the-criminal-justice-sector-in-kyrgyzstan-legal-aid/</w:t>
        </w:r>
      </w:hyperlink>
      <w:r w:rsidRPr="00C14080">
        <w:t xml:space="preserve"> (kä</w:t>
      </w:r>
      <w:r>
        <w:t>yty 5.10.2026).</w:t>
      </w:r>
    </w:p>
    <w:p w14:paraId="03524DAD" w14:textId="2B9525D0" w:rsidR="00A53398" w:rsidRPr="005030A0" w:rsidRDefault="00A53398" w:rsidP="00AF0FD6">
      <w:pPr>
        <w:jc w:val="left"/>
      </w:pPr>
      <w:r>
        <w:rPr>
          <w:lang w:val="en-US"/>
        </w:rPr>
        <w:t xml:space="preserve">OMCT </w:t>
      </w:r>
      <w:r w:rsidR="000C123B">
        <w:rPr>
          <w:lang w:val="en-US"/>
        </w:rPr>
        <w:t>(</w:t>
      </w:r>
      <w:r w:rsidR="000C123B" w:rsidRPr="000C123B">
        <w:rPr>
          <w:lang w:val="en-US"/>
        </w:rPr>
        <w:t>World Organisation Against Torture</w:t>
      </w:r>
      <w:r w:rsidR="000C123B">
        <w:rPr>
          <w:lang w:val="en-US"/>
        </w:rPr>
        <w:t xml:space="preserve">) </w:t>
      </w:r>
      <w:r>
        <w:rPr>
          <w:lang w:val="en-US"/>
        </w:rPr>
        <w:t xml:space="preserve">6/2025. </w:t>
      </w:r>
      <w:r w:rsidRPr="000C123B">
        <w:rPr>
          <w:i/>
          <w:iCs/>
          <w:lang w:val="en-US"/>
        </w:rPr>
        <w:t>GLOBAL TORTURE INDEX 2025: KYRGYZSTAN FACTSHEET.</w:t>
      </w:r>
      <w:r w:rsidRPr="008E1879">
        <w:rPr>
          <w:lang w:val="en-US"/>
        </w:rPr>
        <w:t xml:space="preserve"> </w:t>
      </w:r>
      <w:hyperlink r:id="rId22" w:history="1">
        <w:r w:rsidRPr="005030A0">
          <w:rPr>
            <w:rStyle w:val="Hyperlinkki"/>
          </w:rPr>
          <w:t>https://www.omct.org/site-resources/files/factsheets/Factsheet-Kyrgyzstan-EN.pdf</w:t>
        </w:r>
      </w:hyperlink>
      <w:r w:rsidRPr="005030A0">
        <w:t xml:space="preserve"> (käyty 2.10.2026).</w:t>
      </w:r>
    </w:p>
    <w:p w14:paraId="71126CCC" w14:textId="77777777" w:rsidR="000C123B" w:rsidRDefault="008E1879" w:rsidP="00AF0FD6">
      <w:pPr>
        <w:jc w:val="left"/>
        <w:rPr>
          <w:lang w:val="en-US"/>
        </w:rPr>
      </w:pPr>
      <w:r w:rsidRPr="008E1879">
        <w:rPr>
          <w:lang w:val="en-US"/>
        </w:rPr>
        <w:t>USCIRF (United States Commission on International Religious Freedom</w:t>
      </w:r>
      <w:r>
        <w:rPr>
          <w:lang w:val="en-US"/>
        </w:rPr>
        <w:t xml:space="preserve">) </w:t>
      </w:r>
    </w:p>
    <w:p w14:paraId="562F2A65" w14:textId="00F4DB40" w:rsidR="008E1879" w:rsidRDefault="008E1879" w:rsidP="000C123B">
      <w:pPr>
        <w:ind w:left="720"/>
        <w:jc w:val="left"/>
      </w:pPr>
      <w:r w:rsidRPr="005030A0">
        <w:t xml:space="preserve">2026. </w:t>
      </w:r>
      <w:r w:rsidRPr="000C123B">
        <w:rPr>
          <w:i/>
          <w:iCs/>
        </w:rPr>
        <w:t>KYRGYZSTAN</w:t>
      </w:r>
      <w:r w:rsidRPr="008E1879">
        <w:t xml:space="preserve">. </w:t>
      </w:r>
      <w:hyperlink r:id="rId23" w:history="1">
        <w:r w:rsidR="000C123B" w:rsidRPr="006B1435">
          <w:rPr>
            <w:rStyle w:val="Hyperlinkki"/>
          </w:rPr>
          <w:t>https://www.ecoi.net/en/file/local/2137793/USCIRF%202026%20Annual%20Report%20Kyrgyzstan.pdf</w:t>
        </w:r>
      </w:hyperlink>
      <w:r>
        <w:t xml:space="preserve"> </w:t>
      </w:r>
      <w:r w:rsidRPr="00C14080">
        <w:t>(kä</w:t>
      </w:r>
      <w:r>
        <w:t>yty 28.9.2026).</w:t>
      </w:r>
    </w:p>
    <w:p w14:paraId="31A3BEA8" w14:textId="50087FF6" w:rsidR="008E1879" w:rsidRPr="005030A0" w:rsidRDefault="008E1879" w:rsidP="000C123B">
      <w:pPr>
        <w:ind w:left="720"/>
        <w:jc w:val="left"/>
        <w:rPr>
          <w:lang w:val="en-US"/>
        </w:rPr>
      </w:pPr>
      <w:r w:rsidRPr="008E1879">
        <w:rPr>
          <w:lang w:val="en-US"/>
        </w:rPr>
        <w:t xml:space="preserve">10/2025. </w:t>
      </w:r>
      <w:r w:rsidRPr="000C123B">
        <w:rPr>
          <w:i/>
          <w:iCs/>
          <w:lang w:val="en-US"/>
        </w:rPr>
        <w:t>COUNTRY UPDATE: KYRGYZSTAN.</w:t>
      </w:r>
      <w:r w:rsidRPr="008E1879">
        <w:rPr>
          <w:lang w:val="en-US"/>
        </w:rPr>
        <w:t xml:space="preserve"> </w:t>
      </w:r>
      <w:hyperlink r:id="rId24" w:history="1">
        <w:r w:rsidR="000C123B" w:rsidRPr="005030A0">
          <w:rPr>
            <w:rStyle w:val="Hyperlinkki"/>
            <w:lang w:val="en-US"/>
          </w:rPr>
          <w:t>https://www.uscirf.gov/sites/default/files/2025-10/2025%20Kyrgyzstan%20Country%20Update.pdf</w:t>
        </w:r>
      </w:hyperlink>
      <w:r w:rsidRPr="005030A0">
        <w:rPr>
          <w:lang w:val="en-US"/>
        </w:rPr>
        <w:t xml:space="preserve"> (käyty 28.9.2026).</w:t>
      </w:r>
    </w:p>
    <w:p w14:paraId="1EBAA8F5" w14:textId="69BEB8F1" w:rsidR="00AF0FD6" w:rsidRPr="005030A0" w:rsidRDefault="00AF0FD6" w:rsidP="000C123B">
      <w:pPr>
        <w:ind w:left="720"/>
        <w:jc w:val="left"/>
        <w:rPr>
          <w:lang w:val="en-US"/>
        </w:rPr>
      </w:pPr>
      <w:r>
        <w:rPr>
          <w:lang w:val="en-US"/>
        </w:rPr>
        <w:t xml:space="preserve">10/2023. </w:t>
      </w:r>
      <w:r w:rsidRPr="000C123B">
        <w:rPr>
          <w:i/>
          <w:iCs/>
          <w:lang w:val="en-US"/>
        </w:rPr>
        <w:t>COUNTRY UPDATE: KYRGYZSTAN.</w:t>
      </w:r>
      <w:r>
        <w:rPr>
          <w:lang w:val="en-US"/>
        </w:rPr>
        <w:t xml:space="preserve"> </w:t>
      </w:r>
      <w:hyperlink r:id="rId25" w:history="1">
        <w:r w:rsidR="000C123B" w:rsidRPr="005030A0">
          <w:rPr>
            <w:rStyle w:val="Hyperlinkki"/>
            <w:lang w:val="en-US"/>
          </w:rPr>
          <w:t>https://www.uscirf.gov/sites/default/files/2023-10/2023%20Kyrgyzstan%20Country%20Update_Oct.pdf</w:t>
        </w:r>
      </w:hyperlink>
      <w:r w:rsidRPr="005030A0">
        <w:rPr>
          <w:lang w:val="en-US"/>
        </w:rPr>
        <w:t xml:space="preserve"> (käyty 2.10.2026).</w:t>
      </w:r>
    </w:p>
    <w:p w14:paraId="751FA069" w14:textId="77777777" w:rsidR="000C123B" w:rsidRDefault="00A53398" w:rsidP="00AF0FD6">
      <w:pPr>
        <w:jc w:val="left"/>
        <w:rPr>
          <w:lang w:val="en-US"/>
        </w:rPr>
      </w:pPr>
      <w:r>
        <w:rPr>
          <w:lang w:val="en-US"/>
        </w:rPr>
        <w:t xml:space="preserve">USDOS (United States Department of State) </w:t>
      </w:r>
    </w:p>
    <w:p w14:paraId="5009C860" w14:textId="0887FABD" w:rsidR="00A53398" w:rsidRPr="005030A0" w:rsidRDefault="00A53398" w:rsidP="000C123B">
      <w:pPr>
        <w:ind w:left="720"/>
        <w:jc w:val="left"/>
        <w:rPr>
          <w:lang w:val="en-US"/>
        </w:rPr>
      </w:pPr>
      <w:r>
        <w:rPr>
          <w:lang w:val="en-US"/>
        </w:rPr>
        <w:t xml:space="preserve">8/2025. </w:t>
      </w:r>
      <w:r w:rsidRPr="000C123B">
        <w:rPr>
          <w:i/>
          <w:iCs/>
          <w:lang w:val="en-US"/>
        </w:rPr>
        <w:t xml:space="preserve">2024 Country Reports on Human Rights Practices: Kyrgyz Republic. </w:t>
      </w:r>
      <w:hyperlink r:id="rId26" w:history="1">
        <w:r w:rsidR="000C123B" w:rsidRPr="006B1435">
          <w:rPr>
            <w:rStyle w:val="Hyperlinkki"/>
            <w:lang w:val="en-US"/>
          </w:rPr>
          <w:t>https://www.ecoi.net/en/document/2128460.html</w:t>
        </w:r>
      </w:hyperlink>
      <w:r>
        <w:rPr>
          <w:lang w:val="en-US"/>
        </w:rPr>
        <w:t xml:space="preserve"> </w:t>
      </w:r>
      <w:r w:rsidRPr="005030A0">
        <w:rPr>
          <w:lang w:val="en-US"/>
        </w:rPr>
        <w:t>(käyty 28.9.2026).</w:t>
      </w:r>
    </w:p>
    <w:p w14:paraId="58394C67" w14:textId="43C914AD" w:rsidR="00912CDD" w:rsidRDefault="00912CDD" w:rsidP="000C123B">
      <w:pPr>
        <w:ind w:left="720"/>
        <w:jc w:val="left"/>
        <w:rPr>
          <w:lang w:val="en-US"/>
        </w:rPr>
      </w:pPr>
      <w:r>
        <w:rPr>
          <w:lang w:val="en-US"/>
        </w:rPr>
        <w:t xml:space="preserve">6/2024. </w:t>
      </w:r>
      <w:r w:rsidRPr="000C123B">
        <w:rPr>
          <w:i/>
          <w:iCs/>
          <w:lang w:val="en-US"/>
        </w:rPr>
        <w:t>2023 Report on International Religious Freedom: Kyrgyzstan.</w:t>
      </w:r>
      <w:r>
        <w:rPr>
          <w:lang w:val="en-US"/>
        </w:rPr>
        <w:t xml:space="preserve"> </w:t>
      </w:r>
      <w:hyperlink r:id="rId27" w:history="1">
        <w:r w:rsidR="000C123B" w:rsidRPr="006B1435">
          <w:rPr>
            <w:rStyle w:val="Hyperlinkki"/>
            <w:lang w:val="en-US"/>
          </w:rPr>
          <w:t>https://www.ecoi.net/en/document/2111899.html</w:t>
        </w:r>
      </w:hyperlink>
      <w:r>
        <w:rPr>
          <w:lang w:val="en-US"/>
        </w:rPr>
        <w:t xml:space="preserve"> </w:t>
      </w:r>
      <w:r w:rsidRPr="008E1879">
        <w:rPr>
          <w:lang w:val="en-US"/>
        </w:rPr>
        <w:t>(käyty 2.10.2026).</w:t>
      </w:r>
    </w:p>
    <w:p w14:paraId="6516EB38" w14:textId="13D3ADC4" w:rsidR="00AF0FD6" w:rsidRPr="00AF0FD6" w:rsidRDefault="00AF0FD6" w:rsidP="00AF0FD6">
      <w:pPr>
        <w:jc w:val="left"/>
      </w:pPr>
      <w:r>
        <w:rPr>
          <w:lang w:val="en-US"/>
        </w:rPr>
        <w:t xml:space="preserve">WHO </w:t>
      </w:r>
      <w:r w:rsidR="000C123B">
        <w:rPr>
          <w:lang w:val="en-US"/>
        </w:rPr>
        <w:t xml:space="preserve">(World Health Organization) </w:t>
      </w:r>
      <w:r>
        <w:rPr>
          <w:lang w:val="en-US"/>
        </w:rPr>
        <w:t xml:space="preserve">12/2024. </w:t>
      </w:r>
      <w:r w:rsidRPr="000C123B">
        <w:rPr>
          <w:i/>
          <w:iCs/>
          <w:lang w:val="en-US"/>
        </w:rPr>
        <w:t>Health Systems in Action Kyrgyzstan.</w:t>
      </w:r>
      <w:r>
        <w:rPr>
          <w:lang w:val="en-US"/>
        </w:rPr>
        <w:t xml:space="preserve"> </w:t>
      </w:r>
      <w:hyperlink r:id="rId28" w:history="1">
        <w:r w:rsidRPr="00AF0FD6">
          <w:rPr>
            <w:rStyle w:val="Hyperlinkki"/>
          </w:rPr>
          <w:t>https://iris.who.int/server/api/core/bitstreams/0ab44fac-6792-4a85-b706-5a893de991b8/content</w:t>
        </w:r>
      </w:hyperlink>
      <w:r w:rsidRPr="00AF0FD6">
        <w:t xml:space="preserve"> (käyty 2.10.2026).</w:t>
      </w:r>
    </w:p>
    <w:p w14:paraId="2512407E" w14:textId="77777777" w:rsidR="00082DFE" w:rsidRPr="001D5CAA" w:rsidRDefault="002D1AEB" w:rsidP="00082DFE">
      <w:pPr>
        <w:pStyle w:val="LeiptekstiMigri"/>
        <w:ind w:left="0"/>
        <w:rPr>
          <w:lang w:val="en-GB"/>
        </w:rPr>
      </w:pPr>
      <w:r>
        <w:rPr>
          <w:b/>
        </w:rPr>
        <w:pict w14:anchorId="28FC66AC">
          <v:rect id="_x0000_i1028" style="width:0;height:1.5pt" o:hralign="center" o:hrstd="t" o:hr="t" fillcolor="#a0a0a0" stroked="f"/>
        </w:pict>
      </w:r>
    </w:p>
    <w:p w14:paraId="4840F864" w14:textId="77777777" w:rsidR="00082DFE" w:rsidRDefault="001D63F6" w:rsidP="00810134">
      <w:pPr>
        <w:pStyle w:val="Numeroimatonotsikko"/>
      </w:pPr>
      <w:r>
        <w:t>Tietoja vastauksesta</w:t>
      </w:r>
    </w:p>
    <w:p w14:paraId="7F85ED44"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4FEC3AD8" w14:textId="77777777" w:rsidR="001D63F6" w:rsidRPr="00BC367A" w:rsidRDefault="001D63F6" w:rsidP="00810134">
      <w:pPr>
        <w:pStyle w:val="Numeroimatonotsikko"/>
        <w:rPr>
          <w:lang w:val="en-GB"/>
        </w:rPr>
      </w:pPr>
      <w:r w:rsidRPr="00BC367A">
        <w:rPr>
          <w:lang w:val="en-GB"/>
        </w:rPr>
        <w:t>Information on the response</w:t>
      </w:r>
    </w:p>
    <w:p w14:paraId="349A5519" w14:textId="77777777" w:rsidR="00A35BCB" w:rsidRPr="00A35BCB" w:rsidRDefault="00A35BCB" w:rsidP="00A35BCB">
      <w:pPr>
        <w:rPr>
          <w:lang w:val="en-GB"/>
        </w:rPr>
      </w:pPr>
      <w:r w:rsidRPr="00A35BCB">
        <w:rPr>
          <w:lang w:val="en-GB"/>
        </w:rPr>
        <w:t xml:space="preserve">This response has been compiled by the Country Information Service of the Finnish Immigration Service in accordance with the common EU guidelines for processing country of origin </w:t>
      </w:r>
      <w:r w:rsidRPr="00A35BCB">
        <w:rPr>
          <w:lang w:val="en-GB"/>
        </w:rPr>
        <w:lastRenderedPageBreak/>
        <w:t>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1FBF77C0" w14:textId="77777777" w:rsidR="00B112B8" w:rsidRPr="00A35BCB" w:rsidRDefault="00B112B8" w:rsidP="00A35BCB">
      <w:pPr>
        <w:rPr>
          <w:lang w:val="en-GB"/>
        </w:rPr>
      </w:pPr>
    </w:p>
    <w:sectPr w:rsidR="00B112B8" w:rsidRPr="00A35BCB" w:rsidSect="00072438">
      <w:headerReference w:type="default" r:id="rId29"/>
      <w:headerReference w:type="first" r:id="rId30"/>
      <w:footerReference w:type="first" r:id="rId31"/>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ED320" w14:textId="77777777" w:rsidR="00A4129C" w:rsidRDefault="00A4129C" w:rsidP="007E0069">
      <w:pPr>
        <w:spacing w:after="0" w:line="240" w:lineRule="auto"/>
      </w:pPr>
      <w:r>
        <w:separator/>
      </w:r>
    </w:p>
  </w:endnote>
  <w:endnote w:type="continuationSeparator" w:id="0">
    <w:p w14:paraId="1D93C043" w14:textId="77777777" w:rsidR="00A4129C" w:rsidRDefault="00A4129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3AAC"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A794C76" w14:textId="77777777" w:rsidTr="00483E37">
      <w:trPr>
        <w:trHeight w:val="189"/>
      </w:trPr>
      <w:tc>
        <w:tcPr>
          <w:tcW w:w="1560" w:type="dxa"/>
        </w:tcPr>
        <w:p w14:paraId="3CB89E05" w14:textId="77777777" w:rsidR="004D76E3" w:rsidRPr="00A83D54" w:rsidRDefault="004D76E3" w:rsidP="00337E76">
          <w:pPr>
            <w:pStyle w:val="Alatunniste"/>
            <w:rPr>
              <w:sz w:val="14"/>
              <w:szCs w:val="14"/>
            </w:rPr>
          </w:pPr>
        </w:p>
      </w:tc>
      <w:tc>
        <w:tcPr>
          <w:tcW w:w="2551" w:type="dxa"/>
        </w:tcPr>
        <w:p w14:paraId="1192EEE0" w14:textId="77777777" w:rsidR="004D76E3" w:rsidRPr="00A83D54" w:rsidRDefault="004D76E3" w:rsidP="00337E76">
          <w:pPr>
            <w:pStyle w:val="Alatunniste"/>
            <w:rPr>
              <w:sz w:val="14"/>
              <w:szCs w:val="14"/>
            </w:rPr>
          </w:pPr>
        </w:p>
      </w:tc>
      <w:tc>
        <w:tcPr>
          <w:tcW w:w="2552" w:type="dxa"/>
        </w:tcPr>
        <w:p w14:paraId="4CE2BEAC" w14:textId="77777777" w:rsidR="004D76E3" w:rsidRPr="00A83D54" w:rsidRDefault="004D76E3" w:rsidP="00337E76">
          <w:pPr>
            <w:pStyle w:val="Alatunniste"/>
            <w:rPr>
              <w:sz w:val="14"/>
              <w:szCs w:val="14"/>
            </w:rPr>
          </w:pPr>
        </w:p>
      </w:tc>
      <w:tc>
        <w:tcPr>
          <w:tcW w:w="2830" w:type="dxa"/>
        </w:tcPr>
        <w:p w14:paraId="31B9A846" w14:textId="77777777" w:rsidR="004D76E3" w:rsidRPr="00A83D54" w:rsidRDefault="004D76E3" w:rsidP="00337E76">
          <w:pPr>
            <w:pStyle w:val="Alatunniste"/>
            <w:rPr>
              <w:sz w:val="14"/>
              <w:szCs w:val="14"/>
            </w:rPr>
          </w:pPr>
        </w:p>
      </w:tc>
    </w:tr>
    <w:tr w:rsidR="004D76E3" w:rsidRPr="00A83D54" w14:paraId="6B523A5D" w14:textId="77777777" w:rsidTr="00483E37">
      <w:trPr>
        <w:trHeight w:val="189"/>
      </w:trPr>
      <w:tc>
        <w:tcPr>
          <w:tcW w:w="1560" w:type="dxa"/>
        </w:tcPr>
        <w:p w14:paraId="5A772C33" w14:textId="77777777" w:rsidR="004D76E3" w:rsidRPr="00A83D54" w:rsidRDefault="004D76E3" w:rsidP="00337E76">
          <w:pPr>
            <w:pStyle w:val="Alatunniste"/>
            <w:rPr>
              <w:sz w:val="14"/>
              <w:szCs w:val="14"/>
            </w:rPr>
          </w:pPr>
        </w:p>
      </w:tc>
      <w:tc>
        <w:tcPr>
          <w:tcW w:w="2551" w:type="dxa"/>
        </w:tcPr>
        <w:p w14:paraId="28E7787F" w14:textId="77777777" w:rsidR="004D76E3" w:rsidRPr="00A83D54" w:rsidRDefault="004D76E3" w:rsidP="00337E76">
          <w:pPr>
            <w:pStyle w:val="Alatunniste"/>
            <w:rPr>
              <w:sz w:val="14"/>
              <w:szCs w:val="14"/>
            </w:rPr>
          </w:pPr>
        </w:p>
      </w:tc>
      <w:tc>
        <w:tcPr>
          <w:tcW w:w="2552" w:type="dxa"/>
        </w:tcPr>
        <w:p w14:paraId="53065D0D" w14:textId="77777777" w:rsidR="004D76E3" w:rsidRPr="00A83D54" w:rsidRDefault="004D76E3" w:rsidP="00337E76">
          <w:pPr>
            <w:pStyle w:val="Alatunniste"/>
            <w:rPr>
              <w:sz w:val="14"/>
              <w:szCs w:val="14"/>
            </w:rPr>
          </w:pPr>
        </w:p>
      </w:tc>
      <w:tc>
        <w:tcPr>
          <w:tcW w:w="2830" w:type="dxa"/>
        </w:tcPr>
        <w:p w14:paraId="362CAF6A" w14:textId="77777777" w:rsidR="004D76E3" w:rsidRPr="00A83D54" w:rsidRDefault="004D76E3" w:rsidP="00337E76">
          <w:pPr>
            <w:pStyle w:val="Alatunniste"/>
            <w:rPr>
              <w:sz w:val="14"/>
              <w:szCs w:val="14"/>
            </w:rPr>
          </w:pPr>
        </w:p>
      </w:tc>
    </w:tr>
    <w:tr w:rsidR="004D76E3" w:rsidRPr="00A83D54" w14:paraId="09123901" w14:textId="77777777" w:rsidTr="00483E37">
      <w:trPr>
        <w:trHeight w:val="189"/>
      </w:trPr>
      <w:tc>
        <w:tcPr>
          <w:tcW w:w="1560" w:type="dxa"/>
        </w:tcPr>
        <w:p w14:paraId="4C95FF37" w14:textId="77777777" w:rsidR="004D76E3" w:rsidRPr="00A83D54" w:rsidRDefault="004D76E3" w:rsidP="00337E76">
          <w:pPr>
            <w:pStyle w:val="Alatunniste"/>
            <w:rPr>
              <w:sz w:val="14"/>
              <w:szCs w:val="14"/>
            </w:rPr>
          </w:pPr>
        </w:p>
      </w:tc>
      <w:tc>
        <w:tcPr>
          <w:tcW w:w="2551" w:type="dxa"/>
        </w:tcPr>
        <w:p w14:paraId="316CBD85" w14:textId="77777777" w:rsidR="004D76E3" w:rsidRPr="00A83D54" w:rsidRDefault="004D76E3" w:rsidP="00337E76">
          <w:pPr>
            <w:pStyle w:val="Alatunniste"/>
            <w:rPr>
              <w:sz w:val="14"/>
              <w:szCs w:val="14"/>
            </w:rPr>
          </w:pPr>
        </w:p>
      </w:tc>
      <w:tc>
        <w:tcPr>
          <w:tcW w:w="2552" w:type="dxa"/>
        </w:tcPr>
        <w:p w14:paraId="33AF574E" w14:textId="77777777" w:rsidR="004D76E3" w:rsidRPr="00A83D54" w:rsidRDefault="004D76E3" w:rsidP="00337E76">
          <w:pPr>
            <w:pStyle w:val="Alatunniste"/>
            <w:rPr>
              <w:sz w:val="14"/>
              <w:szCs w:val="14"/>
            </w:rPr>
          </w:pPr>
        </w:p>
      </w:tc>
      <w:tc>
        <w:tcPr>
          <w:tcW w:w="2830" w:type="dxa"/>
        </w:tcPr>
        <w:p w14:paraId="68B529D1" w14:textId="77777777" w:rsidR="004D76E3" w:rsidRPr="00A83D54" w:rsidRDefault="004D76E3" w:rsidP="00337E76">
          <w:pPr>
            <w:pStyle w:val="Alatunniste"/>
            <w:rPr>
              <w:sz w:val="14"/>
              <w:szCs w:val="14"/>
            </w:rPr>
          </w:pPr>
        </w:p>
      </w:tc>
    </w:tr>
  </w:tbl>
  <w:p w14:paraId="1B219B6E"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45C71295" wp14:editId="0120ABAF">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73548A0C"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B9033" w14:textId="77777777" w:rsidR="00A4129C" w:rsidRDefault="00A4129C" w:rsidP="007E0069">
      <w:pPr>
        <w:spacing w:after="0" w:line="240" w:lineRule="auto"/>
      </w:pPr>
      <w:r>
        <w:separator/>
      </w:r>
    </w:p>
  </w:footnote>
  <w:footnote w:type="continuationSeparator" w:id="0">
    <w:p w14:paraId="4C7E6AFF" w14:textId="77777777" w:rsidR="00A4129C" w:rsidRDefault="00A4129C" w:rsidP="007E0069">
      <w:pPr>
        <w:spacing w:after="0" w:line="240" w:lineRule="auto"/>
      </w:pPr>
      <w:r>
        <w:continuationSeparator/>
      </w:r>
    </w:p>
  </w:footnote>
  <w:footnote w:id="1">
    <w:p w14:paraId="3151B13F" w14:textId="296B1E86" w:rsidR="00D35600" w:rsidRPr="00C14080" w:rsidRDefault="00D35600" w:rsidP="00D35600">
      <w:pPr>
        <w:pStyle w:val="Alaviitteenteksti"/>
        <w:rPr>
          <w:lang w:val="sv-SE"/>
        </w:rPr>
      </w:pPr>
      <w:r>
        <w:rPr>
          <w:rStyle w:val="Alaviitteenviite"/>
        </w:rPr>
        <w:footnoteRef/>
      </w:r>
      <w:r w:rsidRPr="00C14080">
        <w:rPr>
          <w:lang w:val="sv-SE"/>
        </w:rPr>
        <w:t xml:space="preserve"> </w:t>
      </w:r>
      <w:r w:rsidR="00C14080" w:rsidRPr="00C14080">
        <w:rPr>
          <w:lang w:val="sv-SE"/>
        </w:rPr>
        <w:t>Bertelsmann Stiftung 2024, s.</w:t>
      </w:r>
      <w:r w:rsidR="00C14080">
        <w:rPr>
          <w:lang w:val="sv-SE"/>
        </w:rPr>
        <w:t xml:space="preserve"> 14; </w:t>
      </w:r>
      <w:r w:rsidR="00C14080" w:rsidRPr="00C14080">
        <w:rPr>
          <w:lang w:val="sv-SE"/>
        </w:rPr>
        <w:t>Bertelsmann Stiftung</w:t>
      </w:r>
      <w:r w:rsidR="00C14080">
        <w:rPr>
          <w:lang w:val="sv-SE"/>
        </w:rPr>
        <w:t xml:space="preserve"> </w:t>
      </w:r>
      <w:r w:rsidR="00C14080" w:rsidRPr="00C14080">
        <w:rPr>
          <w:lang w:val="sv-SE"/>
        </w:rPr>
        <w:t>2026</w:t>
      </w:r>
      <w:r w:rsidR="00C14080">
        <w:rPr>
          <w:lang w:val="sv-SE"/>
        </w:rPr>
        <w:t>, s. 3, 7, 13; Freedom House 2026; IPHR 2.9.2026.</w:t>
      </w:r>
    </w:p>
  </w:footnote>
  <w:footnote w:id="2">
    <w:p w14:paraId="35B17C35" w14:textId="79F4201A" w:rsidR="00C14080" w:rsidRPr="00C14080" w:rsidRDefault="00D35600" w:rsidP="00D35600">
      <w:pPr>
        <w:pStyle w:val="Alaviitteenteksti"/>
        <w:rPr>
          <w:color w:val="0563C1" w:themeColor="hyperlink"/>
          <w:u w:val="single"/>
          <w:lang w:val="en-US"/>
        </w:rPr>
      </w:pPr>
      <w:r>
        <w:rPr>
          <w:rStyle w:val="Alaviitteenviite"/>
        </w:rPr>
        <w:footnoteRef/>
      </w:r>
      <w:r w:rsidR="00C14080">
        <w:rPr>
          <w:lang w:val="en-US"/>
        </w:rPr>
        <w:t xml:space="preserve"> </w:t>
      </w:r>
      <w:r w:rsidR="00C14080" w:rsidRPr="00C14080">
        <w:rPr>
          <w:lang w:val="en-US"/>
        </w:rPr>
        <w:t>Freedom House 2026; Freedom House 2024</w:t>
      </w:r>
      <w:r w:rsidR="00C14080">
        <w:rPr>
          <w:lang w:val="en-US"/>
        </w:rPr>
        <w:t>.</w:t>
      </w:r>
    </w:p>
  </w:footnote>
  <w:footnote w:id="3">
    <w:p w14:paraId="7B30481E" w14:textId="10EE5A0C" w:rsidR="00D35600" w:rsidRPr="00C14080" w:rsidRDefault="00D35600" w:rsidP="00D35600">
      <w:pPr>
        <w:pStyle w:val="Alaviitteenteksti"/>
        <w:rPr>
          <w:lang w:val="en-US"/>
        </w:rPr>
      </w:pPr>
      <w:r>
        <w:rPr>
          <w:rStyle w:val="Alaviitteenviite"/>
        </w:rPr>
        <w:footnoteRef/>
      </w:r>
      <w:r w:rsidRPr="00F20E70">
        <w:rPr>
          <w:lang w:val="en-US"/>
        </w:rPr>
        <w:t xml:space="preserve"> </w:t>
      </w:r>
      <w:r w:rsidR="00C14080" w:rsidRPr="00C14080">
        <w:rPr>
          <w:lang w:val="en-US"/>
        </w:rPr>
        <w:t>Bertelsmann Stiftung 2026</w:t>
      </w:r>
      <w:r w:rsidR="00C14080">
        <w:rPr>
          <w:lang w:val="en-US"/>
        </w:rPr>
        <w:t xml:space="preserve">, s. 13. </w:t>
      </w:r>
    </w:p>
  </w:footnote>
  <w:footnote w:id="4">
    <w:p w14:paraId="0B0AE954" w14:textId="324735C4" w:rsidR="003F6575" w:rsidRPr="00C14080" w:rsidRDefault="003F6575">
      <w:pPr>
        <w:pStyle w:val="Alaviitteenteksti"/>
        <w:rPr>
          <w:lang w:val="en-US"/>
        </w:rPr>
      </w:pPr>
      <w:r>
        <w:rPr>
          <w:rStyle w:val="Alaviitteenviite"/>
        </w:rPr>
        <w:footnoteRef/>
      </w:r>
      <w:r w:rsidRPr="003F6575">
        <w:rPr>
          <w:lang w:val="en-US"/>
        </w:rPr>
        <w:t xml:space="preserve"> </w:t>
      </w:r>
      <w:r w:rsidR="00C14080" w:rsidRPr="00C14080">
        <w:rPr>
          <w:lang w:val="en-US"/>
        </w:rPr>
        <w:t>Freedom House 2026</w:t>
      </w:r>
      <w:r w:rsidR="00C14080">
        <w:rPr>
          <w:lang w:val="en-US"/>
        </w:rPr>
        <w:t>.</w:t>
      </w:r>
    </w:p>
  </w:footnote>
  <w:footnote w:id="5">
    <w:p w14:paraId="5B1E533B" w14:textId="0445BF8B" w:rsidR="003F6575" w:rsidRPr="006D5512" w:rsidRDefault="003F6575" w:rsidP="003F6575">
      <w:pPr>
        <w:pStyle w:val="Alaviitteenteksti"/>
        <w:rPr>
          <w:lang w:val="en-US"/>
        </w:rPr>
      </w:pPr>
      <w:r>
        <w:rPr>
          <w:rStyle w:val="Alaviitteenviite"/>
        </w:rPr>
        <w:footnoteRef/>
      </w:r>
      <w:r w:rsidRPr="006D5512">
        <w:rPr>
          <w:lang w:val="en-US"/>
        </w:rPr>
        <w:t xml:space="preserve"> </w:t>
      </w:r>
      <w:r w:rsidR="00C14080" w:rsidRPr="00C14080">
        <w:rPr>
          <w:lang w:val="en-US"/>
        </w:rPr>
        <w:t>Freedom House 2024</w:t>
      </w:r>
      <w:r w:rsidR="00C14080">
        <w:rPr>
          <w:lang w:val="en-US"/>
        </w:rPr>
        <w:t>.</w:t>
      </w:r>
    </w:p>
  </w:footnote>
  <w:footnote w:id="6">
    <w:p w14:paraId="064BADEC" w14:textId="0AAC74D3" w:rsidR="00D35600" w:rsidRPr="000B4C23" w:rsidRDefault="00D35600" w:rsidP="00D35600">
      <w:pPr>
        <w:pStyle w:val="Alaviitteenteksti"/>
        <w:rPr>
          <w:lang w:val="en-US"/>
        </w:rPr>
      </w:pPr>
      <w:r>
        <w:rPr>
          <w:rStyle w:val="Alaviitteenviite"/>
        </w:rPr>
        <w:footnoteRef/>
      </w:r>
      <w:r w:rsidRPr="000B4C23">
        <w:rPr>
          <w:lang w:val="en-US"/>
        </w:rPr>
        <w:t xml:space="preserve"> </w:t>
      </w:r>
      <w:r w:rsidR="00C14080" w:rsidRPr="008E1879">
        <w:rPr>
          <w:lang w:val="en-US"/>
        </w:rPr>
        <w:t>IPHR 10.4.2025.</w:t>
      </w:r>
    </w:p>
  </w:footnote>
  <w:footnote w:id="7">
    <w:p w14:paraId="205BF680" w14:textId="3E79A017" w:rsidR="00D35600" w:rsidRPr="00C14080" w:rsidRDefault="00D35600" w:rsidP="00D35600">
      <w:pPr>
        <w:pStyle w:val="Alaviitteenteksti"/>
        <w:rPr>
          <w:lang w:val="sv-SE"/>
        </w:rPr>
      </w:pPr>
      <w:r>
        <w:rPr>
          <w:rStyle w:val="Alaviitteenviite"/>
        </w:rPr>
        <w:footnoteRef/>
      </w:r>
      <w:r w:rsidRPr="00C14080">
        <w:rPr>
          <w:lang w:val="sv-SE"/>
        </w:rPr>
        <w:t xml:space="preserve"> </w:t>
      </w:r>
      <w:r w:rsidR="00C14080" w:rsidRPr="00C14080">
        <w:rPr>
          <w:lang w:val="sv-SE"/>
        </w:rPr>
        <w:t>Bertelsmann Stiftung 2026, s. 12.</w:t>
      </w:r>
    </w:p>
  </w:footnote>
  <w:footnote w:id="8">
    <w:p w14:paraId="14DDC0B8" w14:textId="3E9649CB" w:rsidR="00C14080" w:rsidRPr="00C14080" w:rsidRDefault="00D35600" w:rsidP="00D35600">
      <w:pPr>
        <w:pStyle w:val="Alaviitteenteksti"/>
        <w:rPr>
          <w:lang w:val="sv-SE"/>
        </w:rPr>
      </w:pPr>
      <w:r>
        <w:rPr>
          <w:rStyle w:val="Alaviitteenviite"/>
        </w:rPr>
        <w:footnoteRef/>
      </w:r>
      <w:r w:rsidR="00C14080" w:rsidRPr="00C14080">
        <w:rPr>
          <w:lang w:val="sv-SE"/>
        </w:rPr>
        <w:t xml:space="preserve"> Bertelsmann Stiftung 2026, s. 13–14.</w:t>
      </w:r>
    </w:p>
  </w:footnote>
  <w:footnote w:id="9">
    <w:p w14:paraId="4E9E1529" w14:textId="77777777" w:rsidR="009350AA" w:rsidRPr="009350AA" w:rsidRDefault="009350AA" w:rsidP="009350AA">
      <w:pPr>
        <w:pStyle w:val="Alaviitteenteksti"/>
        <w:rPr>
          <w:lang w:val="sv-SE"/>
        </w:rPr>
      </w:pPr>
      <w:r>
        <w:rPr>
          <w:rStyle w:val="Alaviitteenviite"/>
        </w:rPr>
        <w:footnoteRef/>
      </w:r>
      <w:r w:rsidRPr="009350AA">
        <w:rPr>
          <w:lang w:val="sv-SE"/>
        </w:rPr>
        <w:t xml:space="preserve"> IPHR 8.4.2025.</w:t>
      </w:r>
    </w:p>
  </w:footnote>
  <w:footnote w:id="10">
    <w:p w14:paraId="0B4F2558" w14:textId="3CF59C5B" w:rsidR="00D35600" w:rsidRPr="009350AA" w:rsidRDefault="00D35600" w:rsidP="00D35600">
      <w:pPr>
        <w:pStyle w:val="Alaviitteenteksti"/>
        <w:rPr>
          <w:lang w:val="sv-SE"/>
        </w:rPr>
      </w:pPr>
      <w:r>
        <w:rPr>
          <w:rStyle w:val="Alaviitteenviite"/>
        </w:rPr>
        <w:footnoteRef/>
      </w:r>
      <w:r w:rsidRPr="009350AA">
        <w:rPr>
          <w:lang w:val="sv-SE"/>
        </w:rPr>
        <w:t xml:space="preserve"> </w:t>
      </w:r>
      <w:r w:rsidR="00C14080" w:rsidRPr="009350AA">
        <w:rPr>
          <w:lang w:val="sv-SE"/>
        </w:rPr>
        <w:t>IPHR 22.4.2025.</w:t>
      </w:r>
    </w:p>
  </w:footnote>
  <w:footnote w:id="11">
    <w:p w14:paraId="76585FE8" w14:textId="6BEDEEB9" w:rsidR="00D35600" w:rsidRPr="002D1AEB" w:rsidRDefault="00D35600" w:rsidP="00D35600">
      <w:pPr>
        <w:pStyle w:val="Alaviitteenteksti"/>
        <w:rPr>
          <w:lang w:val="sv-SE"/>
        </w:rPr>
      </w:pPr>
      <w:r>
        <w:rPr>
          <w:rStyle w:val="Alaviitteenviite"/>
        </w:rPr>
        <w:footnoteRef/>
      </w:r>
      <w:r w:rsidR="00C14080" w:rsidRPr="002D1AEB">
        <w:rPr>
          <w:lang w:val="sv-SE"/>
        </w:rPr>
        <w:t xml:space="preserve"> IPHR 26.3.2025.</w:t>
      </w:r>
    </w:p>
  </w:footnote>
  <w:footnote w:id="12">
    <w:p w14:paraId="37644E4B" w14:textId="723E63EF" w:rsidR="00D35600" w:rsidRPr="002D1AEB" w:rsidRDefault="00D35600" w:rsidP="00D35600">
      <w:pPr>
        <w:pStyle w:val="Alaviitteenteksti"/>
        <w:rPr>
          <w:lang w:val="sv-SE"/>
        </w:rPr>
      </w:pPr>
      <w:r>
        <w:rPr>
          <w:rStyle w:val="Alaviitteenviite"/>
        </w:rPr>
        <w:footnoteRef/>
      </w:r>
      <w:r w:rsidR="00A53398" w:rsidRPr="002D1AEB">
        <w:rPr>
          <w:lang w:val="sv-SE"/>
        </w:rPr>
        <w:t xml:space="preserve"> IPHR 8.4.2025.</w:t>
      </w:r>
    </w:p>
  </w:footnote>
  <w:footnote w:id="13">
    <w:p w14:paraId="40B53C05" w14:textId="5C0894E3" w:rsidR="00A53398" w:rsidRPr="002D1AEB" w:rsidRDefault="00D35600" w:rsidP="00D35600">
      <w:pPr>
        <w:pStyle w:val="Alaviitteenteksti"/>
        <w:rPr>
          <w:szCs w:val="22"/>
          <w:lang w:val="sv-SE"/>
        </w:rPr>
      </w:pPr>
      <w:r>
        <w:rPr>
          <w:rStyle w:val="Alaviitteenviite"/>
        </w:rPr>
        <w:footnoteRef/>
      </w:r>
      <w:r w:rsidR="00A53398" w:rsidRPr="002D1AEB">
        <w:rPr>
          <w:lang w:val="sv-SE"/>
        </w:rPr>
        <w:t xml:space="preserve"> IPHR  2025, s. 4; IPHR 8.4.2025.</w:t>
      </w:r>
    </w:p>
  </w:footnote>
  <w:footnote w:id="14">
    <w:p w14:paraId="1FCADAB0" w14:textId="23339668" w:rsidR="00A53398" w:rsidRPr="00A53398" w:rsidRDefault="000A5E37" w:rsidP="000A5E37">
      <w:pPr>
        <w:pStyle w:val="Alaviitteenteksti"/>
        <w:rPr>
          <w:lang w:val="en-US"/>
        </w:rPr>
      </w:pPr>
      <w:r>
        <w:rPr>
          <w:rStyle w:val="Alaviitteenviite"/>
        </w:rPr>
        <w:footnoteRef/>
      </w:r>
      <w:r w:rsidR="00A53398">
        <w:rPr>
          <w:lang w:val="en-US"/>
        </w:rPr>
        <w:t xml:space="preserve"> OMCT 6/2025, s. 3.</w:t>
      </w:r>
    </w:p>
  </w:footnote>
  <w:footnote w:id="15">
    <w:p w14:paraId="3C17E3CF" w14:textId="2C707E75" w:rsidR="00612AB5" w:rsidRPr="006D5512" w:rsidRDefault="00612AB5" w:rsidP="00612AB5">
      <w:pPr>
        <w:pStyle w:val="Alaviitteenteksti"/>
        <w:rPr>
          <w:lang w:val="en-US"/>
        </w:rPr>
      </w:pPr>
      <w:r>
        <w:rPr>
          <w:rStyle w:val="Alaviitteenviite"/>
        </w:rPr>
        <w:footnoteRef/>
      </w:r>
      <w:r w:rsidRPr="006D5512">
        <w:rPr>
          <w:lang w:val="en-US"/>
        </w:rPr>
        <w:t xml:space="preserve"> </w:t>
      </w:r>
      <w:r w:rsidR="00C14080" w:rsidRPr="00C14080">
        <w:rPr>
          <w:lang w:val="en-US"/>
        </w:rPr>
        <w:t>Freedom House 2024</w:t>
      </w:r>
      <w:r w:rsidR="00C14080">
        <w:rPr>
          <w:lang w:val="en-US"/>
        </w:rPr>
        <w:t>.</w:t>
      </w:r>
    </w:p>
  </w:footnote>
  <w:footnote w:id="16">
    <w:p w14:paraId="08C2A61E" w14:textId="3351A80E" w:rsidR="00D35600" w:rsidRPr="00C04ADC" w:rsidRDefault="00D35600" w:rsidP="00D35600">
      <w:pPr>
        <w:pStyle w:val="Alaviitteenteksti"/>
        <w:rPr>
          <w:lang w:val="en-US"/>
        </w:rPr>
      </w:pPr>
      <w:r>
        <w:rPr>
          <w:rStyle w:val="Alaviitteenviite"/>
        </w:rPr>
        <w:footnoteRef/>
      </w:r>
      <w:r w:rsidR="00A53398">
        <w:rPr>
          <w:lang w:val="en-US"/>
        </w:rPr>
        <w:t xml:space="preserve"> USDOS 8/2025.</w:t>
      </w:r>
    </w:p>
  </w:footnote>
  <w:footnote w:id="17">
    <w:p w14:paraId="1C129858" w14:textId="4D1C3C06" w:rsidR="00D35600" w:rsidRPr="000306C8" w:rsidRDefault="00D35600" w:rsidP="00D35600">
      <w:pPr>
        <w:pStyle w:val="Alaviitteenteksti"/>
        <w:rPr>
          <w:lang w:val="en-US"/>
        </w:rPr>
      </w:pPr>
      <w:r>
        <w:rPr>
          <w:rStyle w:val="Alaviitteenviite"/>
        </w:rPr>
        <w:footnoteRef/>
      </w:r>
      <w:r w:rsidRPr="000306C8">
        <w:rPr>
          <w:lang w:val="en-US"/>
        </w:rPr>
        <w:t xml:space="preserve"> </w:t>
      </w:r>
      <w:r w:rsidR="00A53398">
        <w:rPr>
          <w:lang w:val="en-US"/>
        </w:rPr>
        <w:t>OMCT 6/2025, s. 1.</w:t>
      </w:r>
    </w:p>
  </w:footnote>
  <w:footnote w:id="18">
    <w:p w14:paraId="10E4E27D" w14:textId="6670DE88" w:rsidR="00D35600" w:rsidRPr="003F452F" w:rsidRDefault="00D35600" w:rsidP="00D35600">
      <w:pPr>
        <w:pStyle w:val="Alaviitteenteksti"/>
        <w:rPr>
          <w:lang w:val="en-US"/>
        </w:rPr>
      </w:pPr>
      <w:r>
        <w:rPr>
          <w:rStyle w:val="Alaviitteenviite"/>
        </w:rPr>
        <w:footnoteRef/>
      </w:r>
      <w:r w:rsidRPr="003F452F">
        <w:rPr>
          <w:lang w:val="en-US"/>
        </w:rPr>
        <w:t xml:space="preserve"> </w:t>
      </w:r>
      <w:r w:rsidR="00C14080" w:rsidRPr="00C14080">
        <w:rPr>
          <w:lang w:val="en-US"/>
        </w:rPr>
        <w:t>Freedom House 2024</w:t>
      </w:r>
      <w:r w:rsidR="00C14080">
        <w:rPr>
          <w:lang w:val="en-US"/>
        </w:rPr>
        <w:t>.</w:t>
      </w:r>
    </w:p>
  </w:footnote>
  <w:footnote w:id="19">
    <w:p w14:paraId="37D18EBB" w14:textId="7472AFBA" w:rsidR="00D35600" w:rsidRPr="002D1AEB" w:rsidRDefault="00D35600" w:rsidP="00D35600">
      <w:pPr>
        <w:pStyle w:val="Alaviitteenteksti"/>
        <w:rPr>
          <w:lang w:val="en-US"/>
        </w:rPr>
      </w:pPr>
      <w:r>
        <w:rPr>
          <w:rStyle w:val="Alaviitteenviite"/>
        </w:rPr>
        <w:footnoteRef/>
      </w:r>
      <w:r w:rsidRPr="002D1AEB">
        <w:rPr>
          <w:lang w:val="en-US"/>
        </w:rPr>
        <w:t xml:space="preserve"> </w:t>
      </w:r>
      <w:r w:rsidR="00A53398" w:rsidRPr="002D1AEB">
        <w:rPr>
          <w:lang w:val="en-US"/>
        </w:rPr>
        <w:t>OMCT 6/2025, s. 4.</w:t>
      </w:r>
    </w:p>
  </w:footnote>
  <w:footnote w:id="20">
    <w:p w14:paraId="628A83C7" w14:textId="66D5C653" w:rsidR="008E1879" w:rsidRPr="008E1879" w:rsidRDefault="000D58C2" w:rsidP="000D58C2">
      <w:pPr>
        <w:pStyle w:val="Alaviitteenteksti"/>
        <w:rPr>
          <w:color w:val="0000FF"/>
          <w:szCs w:val="22"/>
          <w:u w:val="single"/>
          <w:lang w:val="sv-SE"/>
        </w:rPr>
      </w:pPr>
      <w:r>
        <w:rPr>
          <w:rStyle w:val="Alaviitteenviite"/>
        </w:rPr>
        <w:footnoteRef/>
      </w:r>
      <w:r w:rsidR="008E1879">
        <w:rPr>
          <w:lang w:val="sv-SE"/>
        </w:rPr>
        <w:t xml:space="preserve"> </w:t>
      </w:r>
      <w:r w:rsidR="008E1879" w:rsidRPr="008E1879">
        <w:rPr>
          <w:lang w:val="sv-SE"/>
        </w:rPr>
        <w:t>USCIRF</w:t>
      </w:r>
      <w:r w:rsidR="008E1879">
        <w:rPr>
          <w:lang w:val="sv-SE"/>
        </w:rPr>
        <w:t xml:space="preserve"> 2026.</w:t>
      </w:r>
    </w:p>
  </w:footnote>
  <w:footnote w:id="21">
    <w:p w14:paraId="451ECA67" w14:textId="1DD9CC82" w:rsidR="00F36C49" w:rsidRPr="00A53398" w:rsidRDefault="00F36C49">
      <w:pPr>
        <w:pStyle w:val="Alaviitteenteksti"/>
        <w:rPr>
          <w:lang w:val="sv-SE"/>
        </w:rPr>
      </w:pPr>
      <w:r>
        <w:rPr>
          <w:rStyle w:val="Alaviitteenviite"/>
        </w:rPr>
        <w:footnoteRef/>
      </w:r>
      <w:r w:rsidRPr="00A53398">
        <w:rPr>
          <w:lang w:val="sv-SE"/>
        </w:rPr>
        <w:t xml:space="preserve"> </w:t>
      </w:r>
      <w:r w:rsidR="00912CDD" w:rsidRPr="005030A0">
        <w:rPr>
          <w:lang w:val="sv-SE"/>
        </w:rPr>
        <w:t>USDOS 6/2024.</w:t>
      </w:r>
    </w:p>
  </w:footnote>
  <w:footnote w:id="22">
    <w:p w14:paraId="1DDD7801" w14:textId="178C7BE1" w:rsidR="00C14080" w:rsidRPr="00A53398" w:rsidRDefault="00BC0768" w:rsidP="00BC0768">
      <w:pPr>
        <w:pStyle w:val="Alaviitteenteksti"/>
        <w:rPr>
          <w:color w:val="0000FF"/>
          <w:szCs w:val="22"/>
          <w:u w:val="single"/>
          <w:lang w:val="sv-SE"/>
        </w:rPr>
      </w:pPr>
      <w:r>
        <w:rPr>
          <w:rStyle w:val="Alaviitteenviite"/>
        </w:rPr>
        <w:footnoteRef/>
      </w:r>
      <w:r w:rsidR="00C14080" w:rsidRPr="00A53398">
        <w:rPr>
          <w:lang w:val="sv-SE"/>
        </w:rPr>
        <w:t xml:space="preserve"> </w:t>
      </w:r>
      <w:r w:rsidR="00C14080" w:rsidRPr="00C14080">
        <w:rPr>
          <w:lang w:val="sv-SE"/>
        </w:rPr>
        <w:t>Bertelsmann Stiftung 2026, s. 1</w:t>
      </w:r>
      <w:r w:rsidR="00C14080">
        <w:rPr>
          <w:lang w:val="sv-SE"/>
        </w:rPr>
        <w:t>8.</w:t>
      </w:r>
    </w:p>
  </w:footnote>
  <w:footnote w:id="23">
    <w:p w14:paraId="1D432DDC" w14:textId="614937B3" w:rsidR="004C5797" w:rsidRPr="005030A0" w:rsidRDefault="004C5797" w:rsidP="004C5797">
      <w:pPr>
        <w:pStyle w:val="Alaviitteenteksti"/>
        <w:rPr>
          <w:lang w:val="sv-SE"/>
        </w:rPr>
      </w:pPr>
      <w:r>
        <w:rPr>
          <w:rStyle w:val="Alaviitteenviite"/>
        </w:rPr>
        <w:footnoteRef/>
      </w:r>
      <w:r w:rsidRPr="005030A0">
        <w:rPr>
          <w:lang w:val="sv-SE"/>
        </w:rPr>
        <w:t xml:space="preserve"> </w:t>
      </w:r>
      <w:r w:rsidR="00C14080" w:rsidRPr="005030A0">
        <w:rPr>
          <w:lang w:val="sv-SE"/>
        </w:rPr>
        <w:t>Bertelsmann Stiftung 2026, s. 18.</w:t>
      </w:r>
    </w:p>
  </w:footnote>
  <w:footnote w:id="24">
    <w:p w14:paraId="0E1F1591" w14:textId="3D90312D" w:rsidR="008E1879" w:rsidRPr="005030A0" w:rsidRDefault="00BC0768">
      <w:pPr>
        <w:pStyle w:val="Alaviitteenteksti"/>
        <w:rPr>
          <w:lang w:val="sv-SE"/>
        </w:rPr>
      </w:pPr>
      <w:r>
        <w:rPr>
          <w:rStyle w:val="Alaviitteenviite"/>
        </w:rPr>
        <w:footnoteRef/>
      </w:r>
      <w:r w:rsidRPr="005030A0">
        <w:rPr>
          <w:lang w:val="sv-SE"/>
        </w:rPr>
        <w:t xml:space="preserve"> </w:t>
      </w:r>
      <w:r w:rsidR="008E1879" w:rsidRPr="005030A0">
        <w:rPr>
          <w:lang w:val="sv-SE"/>
        </w:rPr>
        <w:t>USCIRF 10/2025, s. 3–4.</w:t>
      </w:r>
    </w:p>
  </w:footnote>
  <w:footnote w:id="25">
    <w:p w14:paraId="06E9D2B4" w14:textId="6C309AB9" w:rsidR="00912CDD" w:rsidRPr="00912CDD" w:rsidRDefault="001821F4">
      <w:pPr>
        <w:pStyle w:val="Alaviitteenteksti"/>
        <w:rPr>
          <w:color w:val="0563C1" w:themeColor="hyperlink"/>
          <w:u w:val="single"/>
          <w:lang w:val="en-US"/>
        </w:rPr>
      </w:pPr>
      <w:r>
        <w:rPr>
          <w:rStyle w:val="Alaviitteenviite"/>
        </w:rPr>
        <w:footnoteRef/>
      </w:r>
      <w:r w:rsidRPr="001821F4">
        <w:rPr>
          <w:lang w:val="en-US"/>
        </w:rPr>
        <w:t xml:space="preserve"> </w:t>
      </w:r>
      <w:r w:rsidR="00912CDD">
        <w:rPr>
          <w:lang w:val="en-US"/>
        </w:rPr>
        <w:t>Forum 18 25.2.2025.</w:t>
      </w:r>
    </w:p>
  </w:footnote>
  <w:footnote w:id="26">
    <w:p w14:paraId="744AFBDF" w14:textId="1BA5BC07" w:rsidR="001821F4" w:rsidRPr="001821F4" w:rsidRDefault="001821F4">
      <w:pPr>
        <w:pStyle w:val="Alaviitteenteksti"/>
        <w:rPr>
          <w:lang w:val="en-US"/>
        </w:rPr>
      </w:pPr>
      <w:r>
        <w:rPr>
          <w:rStyle w:val="Alaviitteenviite"/>
        </w:rPr>
        <w:footnoteRef/>
      </w:r>
      <w:r w:rsidRPr="001821F4">
        <w:rPr>
          <w:lang w:val="en-US"/>
        </w:rPr>
        <w:t xml:space="preserve"> </w:t>
      </w:r>
      <w:r w:rsidR="00912CDD" w:rsidRPr="00912CDD">
        <w:rPr>
          <w:lang w:val="en-US"/>
        </w:rPr>
        <w:t>USCIRF 10/2025</w:t>
      </w:r>
      <w:r w:rsidR="00912CDD">
        <w:rPr>
          <w:lang w:val="en-US"/>
        </w:rPr>
        <w:t>.</w:t>
      </w:r>
    </w:p>
  </w:footnote>
  <w:footnote w:id="27">
    <w:p w14:paraId="2618811F" w14:textId="73B9066F" w:rsidR="001821F4" w:rsidRPr="000D58C2" w:rsidRDefault="001821F4" w:rsidP="001821F4">
      <w:pPr>
        <w:pStyle w:val="Alaviitteenteksti"/>
        <w:rPr>
          <w:lang w:val="en-US"/>
        </w:rPr>
      </w:pPr>
      <w:r>
        <w:rPr>
          <w:rStyle w:val="Alaviitteenviite"/>
        </w:rPr>
        <w:footnoteRef/>
      </w:r>
      <w:r w:rsidRPr="000D58C2">
        <w:rPr>
          <w:lang w:val="en-US"/>
        </w:rPr>
        <w:t xml:space="preserve"> </w:t>
      </w:r>
      <w:r w:rsidRPr="00912CDD">
        <w:rPr>
          <w:lang w:val="en-US"/>
        </w:rPr>
        <w:t>US</w:t>
      </w:r>
      <w:r w:rsidR="00912CDD">
        <w:rPr>
          <w:lang w:val="en-US"/>
        </w:rPr>
        <w:t>DOS 6/2024.</w:t>
      </w:r>
    </w:p>
  </w:footnote>
  <w:footnote w:id="28">
    <w:p w14:paraId="14692E82" w14:textId="5C4E896C" w:rsidR="00912CDD" w:rsidRPr="00912CDD" w:rsidRDefault="001821F4" w:rsidP="001821F4">
      <w:pPr>
        <w:pStyle w:val="Alaviitteenteksti"/>
        <w:rPr>
          <w:color w:val="0000FF"/>
          <w:u w:val="single"/>
          <w:lang w:val="en-US"/>
        </w:rPr>
      </w:pPr>
      <w:r>
        <w:rPr>
          <w:rStyle w:val="Alaviitteenviite"/>
        </w:rPr>
        <w:footnoteRef/>
      </w:r>
      <w:r w:rsidR="00912CDD">
        <w:rPr>
          <w:lang w:val="en-US"/>
        </w:rPr>
        <w:t xml:space="preserve"> </w:t>
      </w:r>
      <w:r w:rsidR="00912CDD" w:rsidRPr="00C14080">
        <w:rPr>
          <w:lang w:val="en-US"/>
        </w:rPr>
        <w:t>Freedom House 2026; Freedom House 202</w:t>
      </w:r>
      <w:r w:rsidR="00912CDD">
        <w:rPr>
          <w:lang w:val="en-US"/>
        </w:rPr>
        <w:t xml:space="preserve">5; </w:t>
      </w:r>
      <w:r w:rsidR="00912CDD" w:rsidRPr="00C14080">
        <w:rPr>
          <w:lang w:val="en-US"/>
        </w:rPr>
        <w:t>Freedom House 2024</w:t>
      </w:r>
      <w:r w:rsidR="00912CDD">
        <w:rPr>
          <w:lang w:val="en-US"/>
        </w:rPr>
        <w:t>.</w:t>
      </w:r>
    </w:p>
  </w:footnote>
  <w:footnote w:id="29">
    <w:p w14:paraId="5C634251" w14:textId="475E0EFD" w:rsidR="00912CDD" w:rsidRPr="00912CDD" w:rsidRDefault="001821F4" w:rsidP="001821F4">
      <w:pPr>
        <w:pStyle w:val="Alaviitteenteksti"/>
        <w:rPr>
          <w:color w:val="0000FF"/>
          <w:u w:val="single"/>
          <w:lang w:val="en-US"/>
        </w:rPr>
      </w:pPr>
      <w:r>
        <w:rPr>
          <w:rStyle w:val="Alaviitteenviite"/>
        </w:rPr>
        <w:footnoteRef/>
      </w:r>
      <w:r w:rsidR="00912CDD">
        <w:rPr>
          <w:lang w:val="en-US"/>
        </w:rPr>
        <w:t xml:space="preserve"> HRW 2026.</w:t>
      </w:r>
    </w:p>
  </w:footnote>
  <w:footnote w:id="30">
    <w:p w14:paraId="144E572A" w14:textId="34C310E6" w:rsidR="001821F4" w:rsidRPr="00F36C49" w:rsidRDefault="001821F4" w:rsidP="001821F4">
      <w:pPr>
        <w:pStyle w:val="Alaviitteenteksti"/>
        <w:rPr>
          <w:lang w:val="en-US"/>
        </w:rPr>
      </w:pPr>
      <w:r>
        <w:rPr>
          <w:rStyle w:val="Alaviitteenviite"/>
        </w:rPr>
        <w:footnoteRef/>
      </w:r>
      <w:r w:rsidRPr="00F36C49">
        <w:rPr>
          <w:lang w:val="en-US"/>
        </w:rPr>
        <w:t xml:space="preserve"> </w:t>
      </w:r>
      <w:r w:rsidR="00912CDD">
        <w:rPr>
          <w:lang w:val="en-US"/>
        </w:rPr>
        <w:t>Amnesty International 4/2026.</w:t>
      </w:r>
    </w:p>
  </w:footnote>
  <w:footnote w:id="31">
    <w:p w14:paraId="27E2FF97" w14:textId="67088C65" w:rsidR="008B04F8" w:rsidRPr="008B04F8" w:rsidRDefault="008B04F8">
      <w:pPr>
        <w:pStyle w:val="Alaviitteenteksti"/>
        <w:rPr>
          <w:lang w:val="en-US"/>
        </w:rPr>
      </w:pPr>
      <w:r>
        <w:rPr>
          <w:rStyle w:val="Alaviitteenviite"/>
        </w:rPr>
        <w:footnoteRef/>
      </w:r>
      <w:r w:rsidRPr="008B04F8">
        <w:rPr>
          <w:lang w:val="en-US"/>
        </w:rPr>
        <w:t xml:space="preserve"> </w:t>
      </w:r>
      <w:r w:rsidR="00AF0FD6" w:rsidRPr="00AF0FD6">
        <w:rPr>
          <w:lang w:val="en-US"/>
        </w:rPr>
        <w:t>Forum 18 25.2.2025</w:t>
      </w:r>
      <w:r w:rsidR="00AF0FD6">
        <w:rPr>
          <w:lang w:val="en-US"/>
        </w:rPr>
        <w:t>.</w:t>
      </w:r>
    </w:p>
  </w:footnote>
  <w:footnote w:id="32">
    <w:p w14:paraId="727F5707" w14:textId="4C6F8105" w:rsidR="00AF0FD6" w:rsidRPr="00BD5378" w:rsidRDefault="004C45B1">
      <w:pPr>
        <w:pStyle w:val="Alaviitteenteksti"/>
        <w:rPr>
          <w:lang w:val="en-US"/>
        </w:rPr>
      </w:pPr>
      <w:r>
        <w:rPr>
          <w:rStyle w:val="Alaviitteenviite"/>
        </w:rPr>
        <w:footnoteRef/>
      </w:r>
      <w:r w:rsidR="00AF0FD6">
        <w:rPr>
          <w:lang w:val="en-US"/>
        </w:rPr>
        <w:t xml:space="preserve"> </w:t>
      </w:r>
      <w:r w:rsidR="00AF0FD6" w:rsidRPr="00912CDD">
        <w:rPr>
          <w:lang w:val="en-US"/>
        </w:rPr>
        <w:t>USCIRF</w:t>
      </w:r>
      <w:r w:rsidR="00AF0FD6">
        <w:rPr>
          <w:lang w:val="en-US"/>
        </w:rPr>
        <w:t xml:space="preserve"> 10/2023, s. 5.</w:t>
      </w:r>
    </w:p>
  </w:footnote>
  <w:footnote w:id="33">
    <w:p w14:paraId="6927CB20" w14:textId="4684A829" w:rsidR="00BD5378" w:rsidRPr="00312E6D" w:rsidRDefault="00BD5378">
      <w:pPr>
        <w:pStyle w:val="Alaviitteenteksti"/>
        <w:rPr>
          <w:lang w:val="en-US"/>
        </w:rPr>
      </w:pPr>
      <w:r>
        <w:rPr>
          <w:rStyle w:val="Alaviitteenviite"/>
        </w:rPr>
        <w:footnoteRef/>
      </w:r>
      <w:r w:rsidRPr="00312E6D">
        <w:rPr>
          <w:lang w:val="en-US"/>
        </w:rPr>
        <w:t xml:space="preserve"> </w:t>
      </w:r>
      <w:r w:rsidR="00AF0FD6" w:rsidRPr="00912CDD">
        <w:rPr>
          <w:lang w:val="en-US"/>
        </w:rPr>
        <w:t>USCIRF 10/2025</w:t>
      </w:r>
      <w:r w:rsidR="00AF0FD6">
        <w:rPr>
          <w:lang w:val="en-US"/>
        </w:rPr>
        <w:t>.</w:t>
      </w:r>
    </w:p>
  </w:footnote>
  <w:footnote w:id="34">
    <w:p w14:paraId="08D92A9A" w14:textId="44C06046" w:rsidR="00AF0FD6" w:rsidRPr="00AF0FD6" w:rsidRDefault="001F7897" w:rsidP="001F7897">
      <w:pPr>
        <w:pStyle w:val="Alaviitteenteksti"/>
        <w:rPr>
          <w:szCs w:val="22"/>
          <w:lang w:val="en-US"/>
        </w:rPr>
      </w:pPr>
      <w:r>
        <w:rPr>
          <w:rStyle w:val="Alaviitteenviite"/>
        </w:rPr>
        <w:footnoteRef/>
      </w:r>
      <w:r w:rsidRPr="001E0F86">
        <w:rPr>
          <w:lang w:val="en-US"/>
        </w:rPr>
        <w:t xml:space="preserve"> </w:t>
      </w:r>
      <w:r w:rsidR="00AF0FD6">
        <w:rPr>
          <w:szCs w:val="22"/>
          <w:lang w:val="en-US"/>
        </w:rPr>
        <w:t>WHO 12/2024, s. 8.</w:t>
      </w:r>
    </w:p>
  </w:footnote>
  <w:footnote w:id="35">
    <w:p w14:paraId="0D63708E" w14:textId="34366BF5" w:rsidR="00AF0FD6" w:rsidRPr="00AF0FD6" w:rsidRDefault="00A71506" w:rsidP="00A71506">
      <w:pPr>
        <w:pStyle w:val="Alaviitteenteksti"/>
        <w:rPr>
          <w:color w:val="0000FF"/>
          <w:szCs w:val="22"/>
          <w:u w:val="single"/>
          <w:lang w:val="en-US"/>
        </w:rPr>
      </w:pPr>
      <w:r>
        <w:rPr>
          <w:rStyle w:val="Alaviitteenviite"/>
        </w:rPr>
        <w:footnoteRef/>
      </w:r>
      <w:r w:rsidR="00AF0FD6">
        <w:rPr>
          <w:lang w:val="en-US"/>
        </w:rPr>
        <w:t xml:space="preserve"> </w:t>
      </w:r>
      <w:r w:rsidR="00AF0FD6" w:rsidRPr="005030A0">
        <w:rPr>
          <w:lang w:val="en-US"/>
        </w:rPr>
        <w:t>Bertelsmann Stiftung 2026, s. 25.</w:t>
      </w:r>
    </w:p>
  </w:footnote>
  <w:footnote w:id="36">
    <w:p w14:paraId="065AF40E" w14:textId="69ABF289" w:rsidR="00AF0FD6" w:rsidRPr="00AF0FD6" w:rsidRDefault="001E0F86" w:rsidP="001E0F86">
      <w:pPr>
        <w:pStyle w:val="Alaviitteenteksti"/>
        <w:rPr>
          <w:szCs w:val="22"/>
          <w:lang w:val="en-US"/>
        </w:rPr>
      </w:pPr>
      <w:r>
        <w:rPr>
          <w:rStyle w:val="Alaviitteenviite"/>
        </w:rPr>
        <w:footnoteRef/>
      </w:r>
      <w:r w:rsidR="00AF0FD6">
        <w:rPr>
          <w:lang w:val="en-US"/>
        </w:rPr>
        <w:t xml:space="preserve"> </w:t>
      </w:r>
      <w:r w:rsidR="00AF0FD6">
        <w:rPr>
          <w:szCs w:val="22"/>
          <w:lang w:val="en-US"/>
        </w:rPr>
        <w:t>WHO 12/2024, s. 7–8.</w:t>
      </w:r>
    </w:p>
  </w:footnote>
  <w:footnote w:id="37">
    <w:p w14:paraId="7502F550" w14:textId="70EA512D" w:rsidR="00AF0FD6" w:rsidRPr="00AF0FD6" w:rsidRDefault="00ED5716" w:rsidP="00ED5716">
      <w:pPr>
        <w:pStyle w:val="Alaviitteenteksti"/>
        <w:rPr>
          <w:szCs w:val="22"/>
          <w:lang w:val="en-US"/>
        </w:rPr>
      </w:pPr>
      <w:r>
        <w:rPr>
          <w:rStyle w:val="Alaviitteenviite"/>
        </w:rPr>
        <w:footnoteRef/>
      </w:r>
      <w:r w:rsidR="00AF0FD6">
        <w:rPr>
          <w:lang w:val="en-US"/>
        </w:rPr>
        <w:t xml:space="preserve"> </w:t>
      </w:r>
      <w:r w:rsidR="00AF0FD6">
        <w:rPr>
          <w:szCs w:val="22"/>
          <w:lang w:val="en-US"/>
        </w:rPr>
        <w:t>WHO 12/2024, s. 7, 9–10, 12.</w:t>
      </w:r>
    </w:p>
  </w:footnote>
  <w:footnote w:id="38">
    <w:p w14:paraId="4B172043" w14:textId="59D4B63D" w:rsidR="00AF0FD6" w:rsidRPr="00AF0FD6" w:rsidRDefault="00067E7D">
      <w:pPr>
        <w:pStyle w:val="Alaviitteenteksti"/>
        <w:rPr>
          <w:szCs w:val="22"/>
          <w:lang w:val="en-US"/>
        </w:rPr>
      </w:pPr>
      <w:r>
        <w:rPr>
          <w:rStyle w:val="Alaviitteenviite"/>
        </w:rPr>
        <w:footnoteRef/>
      </w:r>
      <w:r w:rsidR="00AF0FD6">
        <w:rPr>
          <w:lang w:val="en-US"/>
        </w:rPr>
        <w:t xml:space="preserve"> </w:t>
      </w:r>
      <w:r w:rsidR="00AF0FD6">
        <w:rPr>
          <w:szCs w:val="22"/>
          <w:lang w:val="en-US"/>
        </w:rPr>
        <w:t>WHO 12/2024, s. 10.</w:t>
      </w:r>
    </w:p>
  </w:footnote>
  <w:footnote w:id="39">
    <w:p w14:paraId="13E5293E" w14:textId="5534D81C" w:rsidR="00AF0FD6" w:rsidRPr="00AF0FD6" w:rsidRDefault="00A71506" w:rsidP="00A71506">
      <w:pPr>
        <w:pStyle w:val="Alaviitteenteksti"/>
        <w:rPr>
          <w:szCs w:val="22"/>
          <w:lang w:val="en-US"/>
        </w:rPr>
      </w:pPr>
      <w:r>
        <w:rPr>
          <w:rStyle w:val="Alaviitteenviite"/>
        </w:rPr>
        <w:footnoteRef/>
      </w:r>
      <w:r w:rsidR="00AF0FD6">
        <w:rPr>
          <w:lang w:val="en-US"/>
        </w:rPr>
        <w:t xml:space="preserve"> </w:t>
      </w:r>
      <w:r w:rsidR="00AF0FD6">
        <w:rPr>
          <w:szCs w:val="22"/>
          <w:lang w:val="en-US"/>
        </w:rPr>
        <w:t>WHO 12/2024, s. 19–21.</w:t>
      </w:r>
    </w:p>
  </w:footnote>
  <w:footnote w:id="40">
    <w:p w14:paraId="15DFBC54" w14:textId="29EDE437" w:rsidR="00AF0FD6" w:rsidRPr="00AF0FD6" w:rsidRDefault="00181A83">
      <w:pPr>
        <w:pStyle w:val="Alaviitteenteksti"/>
        <w:rPr>
          <w:szCs w:val="22"/>
          <w:lang w:val="en-US"/>
        </w:rPr>
      </w:pPr>
      <w:r>
        <w:rPr>
          <w:rStyle w:val="Alaviitteenviite"/>
        </w:rPr>
        <w:footnoteRef/>
      </w:r>
      <w:r w:rsidR="00AF0FD6">
        <w:rPr>
          <w:lang w:val="en-US"/>
        </w:rPr>
        <w:t xml:space="preserve"> </w:t>
      </w:r>
      <w:r w:rsidR="00AF0FD6">
        <w:rPr>
          <w:szCs w:val="22"/>
          <w:lang w:val="en-US"/>
        </w:rPr>
        <w:t>WHO 12/2024, s. 11.</w:t>
      </w:r>
    </w:p>
  </w:footnote>
  <w:footnote w:id="41">
    <w:p w14:paraId="386216BE" w14:textId="5F2369EB" w:rsidR="00AF0FD6" w:rsidRPr="00AF0FD6" w:rsidRDefault="00181A83" w:rsidP="00181A83">
      <w:pPr>
        <w:pStyle w:val="Alaviitteenteksti"/>
        <w:rPr>
          <w:szCs w:val="22"/>
          <w:lang w:val="en-US"/>
        </w:rPr>
      </w:pPr>
      <w:r>
        <w:rPr>
          <w:rStyle w:val="Alaviitteenviite"/>
        </w:rPr>
        <w:footnoteRef/>
      </w:r>
      <w:r w:rsidR="00AF0FD6">
        <w:rPr>
          <w:lang w:val="en-US"/>
        </w:rPr>
        <w:t xml:space="preserve"> </w:t>
      </w:r>
      <w:r w:rsidR="00AF0FD6">
        <w:rPr>
          <w:szCs w:val="22"/>
          <w:lang w:val="en-US"/>
        </w:rPr>
        <w:t>WHO 12/2024, s. 12.</w:t>
      </w:r>
    </w:p>
  </w:footnote>
  <w:footnote w:id="42">
    <w:p w14:paraId="4EB96C64" w14:textId="5D8759D9" w:rsidR="00AF0FD6" w:rsidRPr="00AF0FD6" w:rsidRDefault="001534D5">
      <w:pPr>
        <w:pStyle w:val="Alaviitteenteksti"/>
        <w:rPr>
          <w:szCs w:val="22"/>
          <w:lang w:val="en-US"/>
        </w:rPr>
      </w:pPr>
      <w:r>
        <w:rPr>
          <w:rStyle w:val="Alaviitteenviite"/>
        </w:rPr>
        <w:footnoteRef/>
      </w:r>
      <w:r w:rsidR="00AF0FD6">
        <w:rPr>
          <w:lang w:val="en-US"/>
        </w:rPr>
        <w:t xml:space="preserve"> </w:t>
      </w:r>
      <w:r w:rsidR="00AF0FD6">
        <w:rPr>
          <w:szCs w:val="22"/>
          <w:lang w:val="en-US"/>
        </w:rPr>
        <w:t>WHO 12/2024, s. 13.</w:t>
      </w:r>
    </w:p>
  </w:footnote>
  <w:footnote w:id="43">
    <w:p w14:paraId="72F09EF9" w14:textId="270024BA" w:rsidR="00AF0FD6" w:rsidRPr="00AF0FD6" w:rsidRDefault="00181A83">
      <w:pPr>
        <w:pStyle w:val="Alaviitteenteksti"/>
        <w:rPr>
          <w:szCs w:val="22"/>
          <w:lang w:val="en-US"/>
        </w:rPr>
      </w:pPr>
      <w:r>
        <w:rPr>
          <w:rStyle w:val="Alaviitteenviite"/>
        </w:rPr>
        <w:footnoteRef/>
      </w:r>
      <w:r w:rsidR="00AF0FD6">
        <w:rPr>
          <w:lang w:val="en-US"/>
        </w:rPr>
        <w:t xml:space="preserve"> </w:t>
      </w:r>
      <w:r w:rsidR="00AF0FD6">
        <w:rPr>
          <w:szCs w:val="22"/>
          <w:lang w:val="en-US"/>
        </w:rPr>
        <w:t>WHO 12/2024, s. 7,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73ADCCCD" w14:textId="77777777" w:rsidTr="00110B17">
      <w:trPr>
        <w:tblHeader/>
      </w:trPr>
      <w:tc>
        <w:tcPr>
          <w:tcW w:w="3005" w:type="dxa"/>
          <w:tcBorders>
            <w:top w:val="nil"/>
            <w:left w:val="nil"/>
            <w:bottom w:val="nil"/>
            <w:right w:val="nil"/>
          </w:tcBorders>
        </w:tcPr>
        <w:p w14:paraId="626393E5" w14:textId="77777777" w:rsidR="0064460B" w:rsidRPr="00A058E4" w:rsidRDefault="0064460B">
          <w:pPr>
            <w:pStyle w:val="Yltunniste"/>
            <w:rPr>
              <w:sz w:val="16"/>
              <w:szCs w:val="16"/>
            </w:rPr>
          </w:pPr>
        </w:p>
      </w:tc>
      <w:tc>
        <w:tcPr>
          <w:tcW w:w="3005" w:type="dxa"/>
          <w:tcBorders>
            <w:top w:val="nil"/>
            <w:left w:val="nil"/>
            <w:bottom w:val="nil"/>
            <w:right w:val="nil"/>
          </w:tcBorders>
        </w:tcPr>
        <w:p w14:paraId="212DA417" w14:textId="77777777" w:rsidR="0064460B" w:rsidRPr="00A058E4" w:rsidRDefault="0064460B">
          <w:pPr>
            <w:pStyle w:val="Yltunniste"/>
            <w:rPr>
              <w:b/>
              <w:sz w:val="16"/>
              <w:szCs w:val="16"/>
            </w:rPr>
          </w:pPr>
        </w:p>
      </w:tc>
      <w:tc>
        <w:tcPr>
          <w:tcW w:w="3006" w:type="dxa"/>
          <w:tcBorders>
            <w:top w:val="nil"/>
            <w:left w:val="nil"/>
            <w:bottom w:val="nil"/>
            <w:right w:val="nil"/>
          </w:tcBorders>
        </w:tcPr>
        <w:p w14:paraId="6EFCCF68"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017F9A6C" w14:textId="77777777" w:rsidTr="00421708">
      <w:tc>
        <w:tcPr>
          <w:tcW w:w="3005" w:type="dxa"/>
          <w:tcBorders>
            <w:top w:val="nil"/>
            <w:left w:val="nil"/>
            <w:bottom w:val="nil"/>
            <w:right w:val="nil"/>
          </w:tcBorders>
        </w:tcPr>
        <w:p w14:paraId="6D96D6C5" w14:textId="77777777" w:rsidR="0064460B" w:rsidRPr="00A058E4" w:rsidRDefault="0064460B">
          <w:pPr>
            <w:pStyle w:val="Yltunniste"/>
            <w:rPr>
              <w:sz w:val="16"/>
              <w:szCs w:val="16"/>
            </w:rPr>
          </w:pPr>
        </w:p>
      </w:tc>
      <w:tc>
        <w:tcPr>
          <w:tcW w:w="3005" w:type="dxa"/>
          <w:tcBorders>
            <w:top w:val="nil"/>
            <w:left w:val="nil"/>
            <w:bottom w:val="nil"/>
            <w:right w:val="nil"/>
          </w:tcBorders>
        </w:tcPr>
        <w:p w14:paraId="4EBA3EF9" w14:textId="77777777" w:rsidR="0064460B" w:rsidRPr="00A058E4" w:rsidRDefault="0064460B">
          <w:pPr>
            <w:pStyle w:val="Yltunniste"/>
            <w:rPr>
              <w:sz w:val="16"/>
              <w:szCs w:val="16"/>
            </w:rPr>
          </w:pPr>
        </w:p>
      </w:tc>
      <w:tc>
        <w:tcPr>
          <w:tcW w:w="3006" w:type="dxa"/>
          <w:tcBorders>
            <w:top w:val="nil"/>
            <w:left w:val="nil"/>
            <w:bottom w:val="nil"/>
            <w:right w:val="nil"/>
          </w:tcBorders>
        </w:tcPr>
        <w:p w14:paraId="5A0EB697" w14:textId="77777777" w:rsidR="0064460B" w:rsidRPr="00A058E4" w:rsidRDefault="0064460B" w:rsidP="00A058E4">
          <w:pPr>
            <w:pStyle w:val="Yltunniste"/>
            <w:jc w:val="right"/>
            <w:rPr>
              <w:sz w:val="16"/>
              <w:szCs w:val="16"/>
            </w:rPr>
          </w:pPr>
        </w:p>
      </w:tc>
    </w:tr>
    <w:tr w:rsidR="0064460B" w:rsidRPr="00A058E4" w14:paraId="695C2BA7" w14:textId="77777777" w:rsidTr="00421708">
      <w:tc>
        <w:tcPr>
          <w:tcW w:w="3005" w:type="dxa"/>
          <w:tcBorders>
            <w:top w:val="nil"/>
            <w:left w:val="nil"/>
            <w:bottom w:val="nil"/>
            <w:right w:val="nil"/>
          </w:tcBorders>
        </w:tcPr>
        <w:p w14:paraId="1753D35D" w14:textId="77777777" w:rsidR="0064460B" w:rsidRPr="00A058E4" w:rsidRDefault="0064460B">
          <w:pPr>
            <w:pStyle w:val="Yltunniste"/>
            <w:rPr>
              <w:sz w:val="16"/>
              <w:szCs w:val="16"/>
            </w:rPr>
          </w:pPr>
        </w:p>
      </w:tc>
      <w:tc>
        <w:tcPr>
          <w:tcW w:w="3005" w:type="dxa"/>
          <w:tcBorders>
            <w:top w:val="nil"/>
            <w:left w:val="nil"/>
            <w:bottom w:val="nil"/>
            <w:right w:val="nil"/>
          </w:tcBorders>
        </w:tcPr>
        <w:p w14:paraId="05E05E1F" w14:textId="77777777" w:rsidR="0064460B" w:rsidRPr="00A058E4" w:rsidRDefault="0064460B">
          <w:pPr>
            <w:pStyle w:val="Yltunniste"/>
            <w:rPr>
              <w:sz w:val="16"/>
              <w:szCs w:val="16"/>
            </w:rPr>
          </w:pPr>
        </w:p>
      </w:tc>
      <w:tc>
        <w:tcPr>
          <w:tcW w:w="3006" w:type="dxa"/>
          <w:tcBorders>
            <w:top w:val="nil"/>
            <w:left w:val="nil"/>
            <w:bottom w:val="nil"/>
            <w:right w:val="nil"/>
          </w:tcBorders>
        </w:tcPr>
        <w:p w14:paraId="0B87873F" w14:textId="77777777" w:rsidR="0064460B" w:rsidRPr="00A058E4" w:rsidRDefault="0064460B" w:rsidP="00A058E4">
          <w:pPr>
            <w:pStyle w:val="Yltunniste"/>
            <w:jc w:val="right"/>
            <w:rPr>
              <w:sz w:val="16"/>
              <w:szCs w:val="16"/>
            </w:rPr>
          </w:pPr>
        </w:p>
      </w:tc>
    </w:tr>
  </w:tbl>
  <w:p w14:paraId="10038ADD"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0F22A317" wp14:editId="3ED76839">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38B6C634" w14:textId="77777777" w:rsidTr="004B2B44">
      <w:tc>
        <w:tcPr>
          <w:tcW w:w="3005" w:type="dxa"/>
          <w:tcBorders>
            <w:top w:val="nil"/>
            <w:left w:val="nil"/>
            <w:bottom w:val="nil"/>
            <w:right w:val="nil"/>
          </w:tcBorders>
        </w:tcPr>
        <w:p w14:paraId="6C61BE50" w14:textId="77777777" w:rsidR="00873A37" w:rsidRPr="00A058E4" w:rsidRDefault="00873A37">
          <w:pPr>
            <w:pStyle w:val="Yltunniste"/>
            <w:rPr>
              <w:sz w:val="16"/>
              <w:szCs w:val="16"/>
            </w:rPr>
          </w:pPr>
        </w:p>
      </w:tc>
      <w:tc>
        <w:tcPr>
          <w:tcW w:w="3005" w:type="dxa"/>
          <w:tcBorders>
            <w:top w:val="nil"/>
            <w:left w:val="nil"/>
            <w:bottom w:val="nil"/>
            <w:right w:val="nil"/>
          </w:tcBorders>
        </w:tcPr>
        <w:p w14:paraId="7CCEF4E0" w14:textId="77777777" w:rsidR="00873A37" w:rsidRPr="00A058E4" w:rsidRDefault="00873A37">
          <w:pPr>
            <w:pStyle w:val="Yltunniste"/>
            <w:rPr>
              <w:b/>
              <w:sz w:val="16"/>
              <w:szCs w:val="16"/>
            </w:rPr>
          </w:pPr>
        </w:p>
      </w:tc>
      <w:tc>
        <w:tcPr>
          <w:tcW w:w="3006" w:type="dxa"/>
          <w:tcBorders>
            <w:top w:val="nil"/>
            <w:left w:val="nil"/>
            <w:bottom w:val="nil"/>
            <w:right w:val="nil"/>
          </w:tcBorders>
        </w:tcPr>
        <w:p w14:paraId="2A953248"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707C9681" w14:textId="77777777" w:rsidTr="004B2B44">
      <w:tc>
        <w:tcPr>
          <w:tcW w:w="3005" w:type="dxa"/>
          <w:tcBorders>
            <w:top w:val="nil"/>
            <w:left w:val="nil"/>
            <w:bottom w:val="nil"/>
            <w:right w:val="nil"/>
          </w:tcBorders>
        </w:tcPr>
        <w:p w14:paraId="56DE8EC2" w14:textId="77777777" w:rsidR="00873A37" w:rsidRPr="00A058E4" w:rsidRDefault="00873A37">
          <w:pPr>
            <w:pStyle w:val="Yltunniste"/>
            <w:rPr>
              <w:sz w:val="16"/>
              <w:szCs w:val="16"/>
            </w:rPr>
          </w:pPr>
        </w:p>
      </w:tc>
      <w:tc>
        <w:tcPr>
          <w:tcW w:w="3005" w:type="dxa"/>
          <w:tcBorders>
            <w:top w:val="nil"/>
            <w:left w:val="nil"/>
            <w:bottom w:val="nil"/>
            <w:right w:val="nil"/>
          </w:tcBorders>
        </w:tcPr>
        <w:p w14:paraId="33178876" w14:textId="77777777" w:rsidR="00873A37" w:rsidRPr="00A058E4" w:rsidRDefault="00873A37">
          <w:pPr>
            <w:pStyle w:val="Yltunniste"/>
            <w:rPr>
              <w:sz w:val="16"/>
              <w:szCs w:val="16"/>
            </w:rPr>
          </w:pPr>
        </w:p>
      </w:tc>
      <w:tc>
        <w:tcPr>
          <w:tcW w:w="3006" w:type="dxa"/>
          <w:tcBorders>
            <w:top w:val="nil"/>
            <w:left w:val="nil"/>
            <w:bottom w:val="nil"/>
            <w:right w:val="nil"/>
          </w:tcBorders>
        </w:tcPr>
        <w:p w14:paraId="28DAE47F" w14:textId="77777777" w:rsidR="00873A37" w:rsidRPr="00A058E4" w:rsidRDefault="00873A37" w:rsidP="00A058E4">
          <w:pPr>
            <w:pStyle w:val="Yltunniste"/>
            <w:jc w:val="right"/>
            <w:rPr>
              <w:sz w:val="16"/>
              <w:szCs w:val="16"/>
            </w:rPr>
          </w:pPr>
        </w:p>
      </w:tc>
    </w:tr>
    <w:tr w:rsidR="00873A37" w:rsidRPr="00A058E4" w14:paraId="4C4AD28C" w14:textId="77777777" w:rsidTr="004B2B44">
      <w:tc>
        <w:tcPr>
          <w:tcW w:w="3005" w:type="dxa"/>
          <w:tcBorders>
            <w:top w:val="nil"/>
            <w:left w:val="nil"/>
            <w:bottom w:val="nil"/>
            <w:right w:val="nil"/>
          </w:tcBorders>
        </w:tcPr>
        <w:p w14:paraId="76A6BFCE" w14:textId="77777777" w:rsidR="00873A37" w:rsidRPr="00A058E4" w:rsidRDefault="00873A37">
          <w:pPr>
            <w:pStyle w:val="Yltunniste"/>
            <w:rPr>
              <w:sz w:val="16"/>
              <w:szCs w:val="16"/>
            </w:rPr>
          </w:pPr>
        </w:p>
      </w:tc>
      <w:tc>
        <w:tcPr>
          <w:tcW w:w="3005" w:type="dxa"/>
          <w:tcBorders>
            <w:top w:val="nil"/>
            <w:left w:val="nil"/>
            <w:bottom w:val="nil"/>
            <w:right w:val="nil"/>
          </w:tcBorders>
        </w:tcPr>
        <w:p w14:paraId="7619463B" w14:textId="77777777" w:rsidR="00873A37" w:rsidRPr="00A058E4" w:rsidRDefault="00873A37">
          <w:pPr>
            <w:pStyle w:val="Yltunniste"/>
            <w:rPr>
              <w:sz w:val="16"/>
              <w:szCs w:val="16"/>
            </w:rPr>
          </w:pPr>
        </w:p>
      </w:tc>
      <w:tc>
        <w:tcPr>
          <w:tcW w:w="3006" w:type="dxa"/>
          <w:tcBorders>
            <w:top w:val="nil"/>
            <w:left w:val="nil"/>
            <w:bottom w:val="nil"/>
            <w:right w:val="nil"/>
          </w:tcBorders>
        </w:tcPr>
        <w:p w14:paraId="42A84423" w14:textId="77777777" w:rsidR="00873A37" w:rsidRPr="00A058E4" w:rsidRDefault="00873A37" w:rsidP="00A058E4">
          <w:pPr>
            <w:pStyle w:val="Yltunniste"/>
            <w:jc w:val="right"/>
            <w:rPr>
              <w:sz w:val="16"/>
              <w:szCs w:val="16"/>
            </w:rPr>
          </w:pPr>
        </w:p>
      </w:tc>
    </w:tr>
  </w:tbl>
  <w:p w14:paraId="6D7C2AE9"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68C61564" wp14:editId="122F907F">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D0A3D11"/>
    <w:multiLevelType w:val="hybridMultilevel"/>
    <w:tmpl w:val="0C36E532"/>
    <w:lvl w:ilvl="0" w:tplc="257428A0">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5"/>
  </w:num>
  <w:num w:numId="2">
    <w:abstractNumId w:val="20"/>
  </w:num>
  <w:num w:numId="3">
    <w:abstractNumId w:val="13"/>
  </w:num>
  <w:num w:numId="4">
    <w:abstractNumId w:val="12"/>
  </w:num>
  <w:num w:numId="5">
    <w:abstractNumId w:val="10"/>
  </w:num>
  <w:num w:numId="6">
    <w:abstractNumId w:val="15"/>
  </w:num>
  <w:num w:numId="7">
    <w:abstractNumId w:val="19"/>
  </w:num>
  <w:num w:numId="8">
    <w:abstractNumId w:val="18"/>
  </w:num>
  <w:num w:numId="9">
    <w:abstractNumId w:val="18"/>
    <w:lvlOverride w:ilvl="0">
      <w:startOverride w:val="1"/>
    </w:lvlOverride>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2"/>
  </w:num>
  <w:num w:numId="16">
    <w:abstractNumId w:val="2"/>
  </w:num>
  <w:num w:numId="17">
    <w:abstractNumId w:val="1"/>
  </w:num>
  <w:num w:numId="18">
    <w:abstractNumId w:val="17"/>
  </w:num>
  <w:num w:numId="19">
    <w:abstractNumId w:val="16"/>
  </w:num>
  <w:num w:numId="20">
    <w:abstractNumId w:val="23"/>
  </w:num>
  <w:num w:numId="21">
    <w:abstractNumId w:val="6"/>
  </w:num>
  <w:num w:numId="22">
    <w:abstractNumId w:val="21"/>
  </w:num>
  <w:num w:numId="23">
    <w:abstractNumId w:val="4"/>
  </w:num>
  <w:num w:numId="24">
    <w:abstractNumId w:val="7"/>
  </w:num>
  <w:num w:numId="25">
    <w:abstractNumId w:val="0"/>
  </w:num>
  <w:num w:numId="26">
    <w:abstractNumId w:val="22"/>
  </w:num>
  <w:num w:numId="27">
    <w:abstractNumId w:val="8"/>
  </w:num>
  <w:num w:numId="28">
    <w:abstractNumId w:val="5"/>
  </w:num>
  <w:num w:numId="29">
    <w:abstractNumId w:val="14"/>
  </w:num>
  <w:num w:numId="30">
    <w:abstractNumId w:val="3"/>
  </w:num>
  <w:num w:numId="31">
    <w:abstractNumId w:val="3"/>
  </w:num>
  <w:num w:numId="32">
    <w:abstractNumId w:val="3"/>
  </w:num>
  <w:num w:numId="33">
    <w:abstractNumId w:val="3"/>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29C"/>
    <w:rsid w:val="000046DC"/>
    <w:rsid w:val="00010C97"/>
    <w:rsid w:val="0001289F"/>
    <w:rsid w:val="00012EC0"/>
    <w:rsid w:val="00013B40"/>
    <w:rsid w:val="00013F3D"/>
    <w:rsid w:val="000140FF"/>
    <w:rsid w:val="00022D94"/>
    <w:rsid w:val="00023864"/>
    <w:rsid w:val="000306C8"/>
    <w:rsid w:val="000329AE"/>
    <w:rsid w:val="000449EA"/>
    <w:rsid w:val="000455E3"/>
    <w:rsid w:val="00046783"/>
    <w:rsid w:val="000564EB"/>
    <w:rsid w:val="000663E8"/>
    <w:rsid w:val="00067E7D"/>
    <w:rsid w:val="0007094E"/>
    <w:rsid w:val="00072438"/>
    <w:rsid w:val="00082DFE"/>
    <w:rsid w:val="0009323F"/>
    <w:rsid w:val="000A5E37"/>
    <w:rsid w:val="000B7ABB"/>
    <w:rsid w:val="000C123B"/>
    <w:rsid w:val="000C27F8"/>
    <w:rsid w:val="000D1206"/>
    <w:rsid w:val="000D45F8"/>
    <w:rsid w:val="000D58C2"/>
    <w:rsid w:val="000E1A4B"/>
    <w:rsid w:val="000E2D54"/>
    <w:rsid w:val="000E693C"/>
    <w:rsid w:val="000F4AD8"/>
    <w:rsid w:val="000F6F25"/>
    <w:rsid w:val="000F793B"/>
    <w:rsid w:val="00101093"/>
    <w:rsid w:val="00102E0C"/>
    <w:rsid w:val="00110468"/>
    <w:rsid w:val="00110B17"/>
    <w:rsid w:val="001114E8"/>
    <w:rsid w:val="00117EA9"/>
    <w:rsid w:val="00131B7A"/>
    <w:rsid w:val="001360E5"/>
    <w:rsid w:val="001366EE"/>
    <w:rsid w:val="00136FEB"/>
    <w:rsid w:val="001534D5"/>
    <w:rsid w:val="0015362E"/>
    <w:rsid w:val="0015594B"/>
    <w:rsid w:val="001629E4"/>
    <w:rsid w:val="0016666D"/>
    <w:rsid w:val="001678AD"/>
    <w:rsid w:val="001741CB"/>
    <w:rsid w:val="001758C8"/>
    <w:rsid w:val="00181A83"/>
    <w:rsid w:val="001821F4"/>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0F86"/>
    <w:rsid w:val="001E21A8"/>
    <w:rsid w:val="001E4844"/>
    <w:rsid w:val="001F1B08"/>
    <w:rsid w:val="001F7897"/>
    <w:rsid w:val="00206DFC"/>
    <w:rsid w:val="002248A2"/>
    <w:rsid w:val="00224FD6"/>
    <w:rsid w:val="0022712B"/>
    <w:rsid w:val="00230FD9"/>
    <w:rsid w:val="002350CB"/>
    <w:rsid w:val="00237C15"/>
    <w:rsid w:val="00252F50"/>
    <w:rsid w:val="00253B21"/>
    <w:rsid w:val="00255697"/>
    <w:rsid w:val="00255D91"/>
    <w:rsid w:val="002571E9"/>
    <w:rsid w:val="002629C5"/>
    <w:rsid w:val="00267906"/>
    <w:rsid w:val="00267E88"/>
    <w:rsid w:val="00272D9D"/>
    <w:rsid w:val="002759F5"/>
    <w:rsid w:val="002965BB"/>
    <w:rsid w:val="002A6054"/>
    <w:rsid w:val="002B4F5C"/>
    <w:rsid w:val="002B5E48"/>
    <w:rsid w:val="002B6E14"/>
    <w:rsid w:val="002C2668"/>
    <w:rsid w:val="002C4FEA"/>
    <w:rsid w:val="002C656A"/>
    <w:rsid w:val="002D0032"/>
    <w:rsid w:val="002D1AEB"/>
    <w:rsid w:val="002D70EF"/>
    <w:rsid w:val="002D7383"/>
    <w:rsid w:val="002E0B87"/>
    <w:rsid w:val="002E7DCF"/>
    <w:rsid w:val="003077A4"/>
    <w:rsid w:val="00312E6D"/>
    <w:rsid w:val="003135FC"/>
    <w:rsid w:val="00313CBC"/>
    <w:rsid w:val="00313CBF"/>
    <w:rsid w:val="00315732"/>
    <w:rsid w:val="0032021E"/>
    <w:rsid w:val="003226F0"/>
    <w:rsid w:val="00332AB2"/>
    <w:rsid w:val="00335D68"/>
    <w:rsid w:val="0033622F"/>
    <w:rsid w:val="00337E76"/>
    <w:rsid w:val="00342A30"/>
    <w:rsid w:val="00351B7D"/>
    <w:rsid w:val="003673C0"/>
    <w:rsid w:val="00370E4F"/>
    <w:rsid w:val="00373713"/>
    <w:rsid w:val="00376326"/>
    <w:rsid w:val="00377AEB"/>
    <w:rsid w:val="0038473B"/>
    <w:rsid w:val="00385B1D"/>
    <w:rsid w:val="00390DB7"/>
    <w:rsid w:val="0039232D"/>
    <w:rsid w:val="003964A3"/>
    <w:rsid w:val="003976AD"/>
    <w:rsid w:val="003A6706"/>
    <w:rsid w:val="003B144B"/>
    <w:rsid w:val="003B3150"/>
    <w:rsid w:val="003C4049"/>
    <w:rsid w:val="003C5382"/>
    <w:rsid w:val="003C650A"/>
    <w:rsid w:val="003D0AB9"/>
    <w:rsid w:val="003D4732"/>
    <w:rsid w:val="003F452F"/>
    <w:rsid w:val="003F4C79"/>
    <w:rsid w:val="003F5BFA"/>
    <w:rsid w:val="003F6575"/>
    <w:rsid w:val="004045B4"/>
    <w:rsid w:val="00410407"/>
    <w:rsid w:val="0041667A"/>
    <w:rsid w:val="00421708"/>
    <w:rsid w:val="004221B0"/>
    <w:rsid w:val="00423E56"/>
    <w:rsid w:val="0043343B"/>
    <w:rsid w:val="0043351F"/>
    <w:rsid w:val="0043717D"/>
    <w:rsid w:val="00440722"/>
    <w:rsid w:val="004460C6"/>
    <w:rsid w:val="00460ADC"/>
    <w:rsid w:val="00465DC6"/>
    <w:rsid w:val="00473DF0"/>
    <w:rsid w:val="0047544F"/>
    <w:rsid w:val="00483BB4"/>
    <w:rsid w:val="00483E37"/>
    <w:rsid w:val="004963D7"/>
    <w:rsid w:val="004A3E23"/>
    <w:rsid w:val="004B2B44"/>
    <w:rsid w:val="004B34E1"/>
    <w:rsid w:val="004C1C47"/>
    <w:rsid w:val="004C23F9"/>
    <w:rsid w:val="004C45B1"/>
    <w:rsid w:val="004C5797"/>
    <w:rsid w:val="004D4E5C"/>
    <w:rsid w:val="004D7499"/>
    <w:rsid w:val="004D76E3"/>
    <w:rsid w:val="004E598B"/>
    <w:rsid w:val="004F15C9"/>
    <w:rsid w:val="004F28FE"/>
    <w:rsid w:val="004F4078"/>
    <w:rsid w:val="005030A0"/>
    <w:rsid w:val="00525360"/>
    <w:rsid w:val="00527E87"/>
    <w:rsid w:val="00541D51"/>
    <w:rsid w:val="00543421"/>
    <w:rsid w:val="00543B88"/>
    <w:rsid w:val="00543F66"/>
    <w:rsid w:val="0054771A"/>
    <w:rsid w:val="00554136"/>
    <w:rsid w:val="00554A7A"/>
    <w:rsid w:val="0055582F"/>
    <w:rsid w:val="00555E75"/>
    <w:rsid w:val="00556532"/>
    <w:rsid w:val="0056613C"/>
    <w:rsid w:val="00566672"/>
    <w:rsid w:val="00567BD9"/>
    <w:rsid w:val="005719F7"/>
    <w:rsid w:val="00576A8A"/>
    <w:rsid w:val="005814A1"/>
    <w:rsid w:val="00583FE4"/>
    <w:rsid w:val="005A02F4"/>
    <w:rsid w:val="005A309A"/>
    <w:rsid w:val="005B00BB"/>
    <w:rsid w:val="005B3A3F"/>
    <w:rsid w:val="005B47D8"/>
    <w:rsid w:val="005B6C91"/>
    <w:rsid w:val="005D3A33"/>
    <w:rsid w:val="005D7EB5"/>
    <w:rsid w:val="005E2BC1"/>
    <w:rsid w:val="005F163B"/>
    <w:rsid w:val="0060063B"/>
    <w:rsid w:val="00601F27"/>
    <w:rsid w:val="00612AB5"/>
    <w:rsid w:val="00613331"/>
    <w:rsid w:val="00620595"/>
    <w:rsid w:val="00627C21"/>
    <w:rsid w:val="00633597"/>
    <w:rsid w:val="00633BBD"/>
    <w:rsid w:val="00634FEB"/>
    <w:rsid w:val="0064460B"/>
    <w:rsid w:val="0064589F"/>
    <w:rsid w:val="00651172"/>
    <w:rsid w:val="00655C4C"/>
    <w:rsid w:val="00662B56"/>
    <w:rsid w:val="00666FD6"/>
    <w:rsid w:val="00671041"/>
    <w:rsid w:val="00683804"/>
    <w:rsid w:val="00686CF3"/>
    <w:rsid w:val="00687B1E"/>
    <w:rsid w:val="0069181E"/>
    <w:rsid w:val="00695BAB"/>
    <w:rsid w:val="006A2F5D"/>
    <w:rsid w:val="006A4F5F"/>
    <w:rsid w:val="006B1508"/>
    <w:rsid w:val="006B3E85"/>
    <w:rsid w:val="006B4626"/>
    <w:rsid w:val="006C7A99"/>
    <w:rsid w:val="006D2571"/>
    <w:rsid w:val="006D3068"/>
    <w:rsid w:val="006D5512"/>
    <w:rsid w:val="006E7D0B"/>
    <w:rsid w:val="006F0B7C"/>
    <w:rsid w:val="0070377D"/>
    <w:rsid w:val="007168DA"/>
    <w:rsid w:val="007212A4"/>
    <w:rsid w:val="00723843"/>
    <w:rsid w:val="0073068A"/>
    <w:rsid w:val="0074104A"/>
    <w:rsid w:val="0074158A"/>
    <w:rsid w:val="00751EBB"/>
    <w:rsid w:val="0076166C"/>
    <w:rsid w:val="00772240"/>
    <w:rsid w:val="00785D58"/>
    <w:rsid w:val="007A79F9"/>
    <w:rsid w:val="007B168E"/>
    <w:rsid w:val="007B1DA8"/>
    <w:rsid w:val="007B2D20"/>
    <w:rsid w:val="007C057B"/>
    <w:rsid w:val="007C1151"/>
    <w:rsid w:val="007C25EB"/>
    <w:rsid w:val="007C4B6F"/>
    <w:rsid w:val="007C5BB2"/>
    <w:rsid w:val="007D45F2"/>
    <w:rsid w:val="007E0069"/>
    <w:rsid w:val="007E2C99"/>
    <w:rsid w:val="007E5C7B"/>
    <w:rsid w:val="00800AA9"/>
    <w:rsid w:val="00800E0C"/>
    <w:rsid w:val="008020E6"/>
    <w:rsid w:val="00803B42"/>
    <w:rsid w:val="00810134"/>
    <w:rsid w:val="008350F0"/>
    <w:rsid w:val="00835734"/>
    <w:rsid w:val="0084029C"/>
    <w:rsid w:val="00845940"/>
    <w:rsid w:val="008571C0"/>
    <w:rsid w:val="00860C12"/>
    <w:rsid w:val="0087371C"/>
    <w:rsid w:val="00873A37"/>
    <w:rsid w:val="008755BF"/>
    <w:rsid w:val="008B04F8"/>
    <w:rsid w:val="008B2637"/>
    <w:rsid w:val="008B44DF"/>
    <w:rsid w:val="008B4C53"/>
    <w:rsid w:val="008C3171"/>
    <w:rsid w:val="008C3FF0"/>
    <w:rsid w:val="008C6A0E"/>
    <w:rsid w:val="008E0129"/>
    <w:rsid w:val="008E1575"/>
    <w:rsid w:val="008E1879"/>
    <w:rsid w:val="008F20FD"/>
    <w:rsid w:val="008F2AAB"/>
    <w:rsid w:val="0090479F"/>
    <w:rsid w:val="00912CDD"/>
    <w:rsid w:val="00916421"/>
    <w:rsid w:val="009170B9"/>
    <w:rsid w:val="0092279B"/>
    <w:rsid w:val="009230EE"/>
    <w:rsid w:val="009350AA"/>
    <w:rsid w:val="00941FAB"/>
    <w:rsid w:val="00952982"/>
    <w:rsid w:val="0095541C"/>
    <w:rsid w:val="00966541"/>
    <w:rsid w:val="00980F1C"/>
    <w:rsid w:val="00981808"/>
    <w:rsid w:val="009837E5"/>
    <w:rsid w:val="009B606B"/>
    <w:rsid w:val="009D26CC"/>
    <w:rsid w:val="009D374F"/>
    <w:rsid w:val="009D44A2"/>
    <w:rsid w:val="009E0F44"/>
    <w:rsid w:val="009E3B08"/>
    <w:rsid w:val="009E3C92"/>
    <w:rsid w:val="00A04FF1"/>
    <w:rsid w:val="00A058E4"/>
    <w:rsid w:val="00A35BCB"/>
    <w:rsid w:val="00A4129C"/>
    <w:rsid w:val="00A522BB"/>
    <w:rsid w:val="00A52A13"/>
    <w:rsid w:val="00A53398"/>
    <w:rsid w:val="00A645D1"/>
    <w:rsid w:val="00A6466D"/>
    <w:rsid w:val="00A71506"/>
    <w:rsid w:val="00A74713"/>
    <w:rsid w:val="00A7678F"/>
    <w:rsid w:val="00A8295C"/>
    <w:rsid w:val="00A900EA"/>
    <w:rsid w:val="00A93B2D"/>
    <w:rsid w:val="00AA00F5"/>
    <w:rsid w:val="00AC4FDE"/>
    <w:rsid w:val="00AC5E4B"/>
    <w:rsid w:val="00AE08A1"/>
    <w:rsid w:val="00AE21E8"/>
    <w:rsid w:val="00AE54AA"/>
    <w:rsid w:val="00AE7C7B"/>
    <w:rsid w:val="00AF03BC"/>
    <w:rsid w:val="00AF0FD6"/>
    <w:rsid w:val="00B0234C"/>
    <w:rsid w:val="00B07C42"/>
    <w:rsid w:val="00B112B8"/>
    <w:rsid w:val="00B31F57"/>
    <w:rsid w:val="00B33381"/>
    <w:rsid w:val="00B37882"/>
    <w:rsid w:val="00B45FF3"/>
    <w:rsid w:val="00B51629"/>
    <w:rsid w:val="00B529CE"/>
    <w:rsid w:val="00B52A4D"/>
    <w:rsid w:val="00B52DD7"/>
    <w:rsid w:val="00B57333"/>
    <w:rsid w:val="00B65278"/>
    <w:rsid w:val="00B70293"/>
    <w:rsid w:val="00B7440B"/>
    <w:rsid w:val="00B8653B"/>
    <w:rsid w:val="00B96A72"/>
    <w:rsid w:val="00BA2164"/>
    <w:rsid w:val="00BB0B29"/>
    <w:rsid w:val="00BB136D"/>
    <w:rsid w:val="00BB4F66"/>
    <w:rsid w:val="00BB785D"/>
    <w:rsid w:val="00BB7DB7"/>
    <w:rsid w:val="00BB7F45"/>
    <w:rsid w:val="00BC0768"/>
    <w:rsid w:val="00BC1CB7"/>
    <w:rsid w:val="00BC367A"/>
    <w:rsid w:val="00BD5378"/>
    <w:rsid w:val="00BE0837"/>
    <w:rsid w:val="00BE2758"/>
    <w:rsid w:val="00BE608B"/>
    <w:rsid w:val="00BE72D8"/>
    <w:rsid w:val="00BE7E5C"/>
    <w:rsid w:val="00BF744C"/>
    <w:rsid w:val="00C04ADC"/>
    <w:rsid w:val="00C06A16"/>
    <w:rsid w:val="00C06FCB"/>
    <w:rsid w:val="00C1035E"/>
    <w:rsid w:val="00C112FB"/>
    <w:rsid w:val="00C1302F"/>
    <w:rsid w:val="00C14080"/>
    <w:rsid w:val="00C16602"/>
    <w:rsid w:val="00C25F4A"/>
    <w:rsid w:val="00C312C8"/>
    <w:rsid w:val="00C348A3"/>
    <w:rsid w:val="00C40C80"/>
    <w:rsid w:val="00C70321"/>
    <w:rsid w:val="00C747DB"/>
    <w:rsid w:val="00C8556C"/>
    <w:rsid w:val="00C90D86"/>
    <w:rsid w:val="00C94FC7"/>
    <w:rsid w:val="00C95A8B"/>
    <w:rsid w:val="00CC25B9"/>
    <w:rsid w:val="00CC3CAE"/>
    <w:rsid w:val="00CE26C7"/>
    <w:rsid w:val="00CF3F0A"/>
    <w:rsid w:val="00CF712C"/>
    <w:rsid w:val="00D07FC0"/>
    <w:rsid w:val="00D130E2"/>
    <w:rsid w:val="00D152E0"/>
    <w:rsid w:val="00D171E5"/>
    <w:rsid w:val="00D205C8"/>
    <w:rsid w:val="00D21FAF"/>
    <w:rsid w:val="00D24D52"/>
    <w:rsid w:val="00D257F6"/>
    <w:rsid w:val="00D35600"/>
    <w:rsid w:val="00D37291"/>
    <w:rsid w:val="00D47232"/>
    <w:rsid w:val="00D47659"/>
    <w:rsid w:val="00D6472E"/>
    <w:rsid w:val="00D724F3"/>
    <w:rsid w:val="00D80CF9"/>
    <w:rsid w:val="00D85581"/>
    <w:rsid w:val="00D93433"/>
    <w:rsid w:val="00D9702B"/>
    <w:rsid w:val="00DB1E92"/>
    <w:rsid w:val="00DB256D"/>
    <w:rsid w:val="00DC1073"/>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5EE7"/>
    <w:rsid w:val="00E37B7C"/>
    <w:rsid w:val="00E424D1"/>
    <w:rsid w:val="00E44896"/>
    <w:rsid w:val="00E5437B"/>
    <w:rsid w:val="00E60C8B"/>
    <w:rsid w:val="00E61ADE"/>
    <w:rsid w:val="00E61B04"/>
    <w:rsid w:val="00E6371A"/>
    <w:rsid w:val="00E64CFC"/>
    <w:rsid w:val="00E66BD8"/>
    <w:rsid w:val="00E85D86"/>
    <w:rsid w:val="00E9185D"/>
    <w:rsid w:val="00E9238C"/>
    <w:rsid w:val="00EA211A"/>
    <w:rsid w:val="00EA4FE4"/>
    <w:rsid w:val="00EB031A"/>
    <w:rsid w:val="00EB0BB5"/>
    <w:rsid w:val="00EB347C"/>
    <w:rsid w:val="00EB6C6D"/>
    <w:rsid w:val="00EC45CF"/>
    <w:rsid w:val="00ED148F"/>
    <w:rsid w:val="00ED5716"/>
    <w:rsid w:val="00EF6FCF"/>
    <w:rsid w:val="00F02A9D"/>
    <w:rsid w:val="00F04424"/>
    <w:rsid w:val="00F04AE6"/>
    <w:rsid w:val="00F05576"/>
    <w:rsid w:val="00F10963"/>
    <w:rsid w:val="00F24CAB"/>
    <w:rsid w:val="00F36C49"/>
    <w:rsid w:val="00F40646"/>
    <w:rsid w:val="00F43553"/>
    <w:rsid w:val="00F50B13"/>
    <w:rsid w:val="00F57FD6"/>
    <w:rsid w:val="00F61D61"/>
    <w:rsid w:val="00F734BD"/>
    <w:rsid w:val="00F75550"/>
    <w:rsid w:val="00F81E6B"/>
    <w:rsid w:val="00F82F9C"/>
    <w:rsid w:val="00F937B6"/>
    <w:rsid w:val="00F9400E"/>
    <w:rsid w:val="00FA55C8"/>
    <w:rsid w:val="00FA5620"/>
    <w:rsid w:val="00FB0239"/>
    <w:rsid w:val="00FB090D"/>
    <w:rsid w:val="00FB4752"/>
    <w:rsid w:val="00FC0084"/>
    <w:rsid w:val="00FC6822"/>
    <w:rsid w:val="00FE5B6A"/>
    <w:rsid w:val="00FF0777"/>
    <w:rsid w:val="00FF18AF"/>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543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541D51"/>
    <w:rPr>
      <w:sz w:val="16"/>
      <w:szCs w:val="16"/>
    </w:rPr>
  </w:style>
  <w:style w:type="paragraph" w:styleId="Kommentinteksti">
    <w:name w:val="annotation text"/>
    <w:basedOn w:val="Normaali"/>
    <w:link w:val="KommentintekstiChar"/>
    <w:uiPriority w:val="99"/>
    <w:unhideWhenUsed/>
    <w:rsid w:val="00541D51"/>
    <w:pPr>
      <w:spacing w:line="240" w:lineRule="auto"/>
    </w:pPr>
    <w:rPr>
      <w:szCs w:val="20"/>
    </w:rPr>
  </w:style>
  <w:style w:type="character" w:customStyle="1" w:styleId="KommentintekstiChar">
    <w:name w:val="Kommentin teksti Char"/>
    <w:basedOn w:val="Kappaleenoletusfontti"/>
    <w:link w:val="Kommentinteksti"/>
    <w:uiPriority w:val="99"/>
    <w:rsid w:val="00541D51"/>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541D51"/>
    <w:rPr>
      <w:b/>
      <w:bCs/>
    </w:rPr>
  </w:style>
  <w:style w:type="character" w:customStyle="1" w:styleId="KommentinotsikkoChar">
    <w:name w:val="Kommentin otsikko Char"/>
    <w:basedOn w:val="KommentintekstiChar"/>
    <w:link w:val="Kommentinotsikko"/>
    <w:uiPriority w:val="99"/>
    <w:semiHidden/>
    <w:rsid w:val="00541D51"/>
    <w:rPr>
      <w:rFonts w:ascii="Century Gothic" w:hAnsi="Century Gothic"/>
      <w:b/>
      <w:bCs/>
      <w:sz w:val="20"/>
      <w:szCs w:val="20"/>
    </w:rPr>
  </w:style>
  <w:style w:type="paragraph" w:styleId="NormaaliWWW">
    <w:name w:val="Normal (Web)"/>
    <w:basedOn w:val="Normaali"/>
    <w:uiPriority w:val="99"/>
    <w:semiHidden/>
    <w:unhideWhenUsed/>
    <w:rsid w:val="00B31F57"/>
    <w:pPr>
      <w:spacing w:before="100" w:beforeAutospacing="1" w:after="100" w:afterAutospacing="1" w:line="240" w:lineRule="auto"/>
      <w:jc w:val="left"/>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75783726">
      <w:bodyDiv w:val="1"/>
      <w:marLeft w:val="0"/>
      <w:marRight w:val="0"/>
      <w:marTop w:val="0"/>
      <w:marBottom w:val="0"/>
      <w:divBdr>
        <w:top w:val="none" w:sz="0" w:space="0" w:color="auto"/>
        <w:left w:val="none" w:sz="0" w:space="0" w:color="auto"/>
        <w:bottom w:val="none" w:sz="0" w:space="0" w:color="auto"/>
        <w:right w:val="none" w:sz="0" w:space="0" w:color="auto"/>
      </w:divBdr>
    </w:div>
    <w:div w:id="385027225">
      <w:bodyDiv w:val="1"/>
      <w:marLeft w:val="0"/>
      <w:marRight w:val="0"/>
      <w:marTop w:val="0"/>
      <w:marBottom w:val="0"/>
      <w:divBdr>
        <w:top w:val="none" w:sz="0" w:space="0" w:color="auto"/>
        <w:left w:val="none" w:sz="0" w:space="0" w:color="auto"/>
        <w:bottom w:val="none" w:sz="0" w:space="0" w:color="auto"/>
        <w:right w:val="none" w:sz="0" w:space="0" w:color="auto"/>
      </w:divBdr>
    </w:div>
    <w:div w:id="41012515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75534436">
      <w:bodyDiv w:val="1"/>
      <w:marLeft w:val="0"/>
      <w:marRight w:val="0"/>
      <w:marTop w:val="0"/>
      <w:marBottom w:val="0"/>
      <w:divBdr>
        <w:top w:val="none" w:sz="0" w:space="0" w:color="auto"/>
        <w:left w:val="none" w:sz="0" w:space="0" w:color="auto"/>
        <w:bottom w:val="none" w:sz="0" w:space="0" w:color="auto"/>
        <w:right w:val="none" w:sz="0" w:space="0" w:color="auto"/>
      </w:divBdr>
      <w:divsChild>
        <w:div w:id="474031247">
          <w:marLeft w:val="0"/>
          <w:marRight w:val="0"/>
          <w:marTop w:val="0"/>
          <w:marBottom w:val="0"/>
          <w:divBdr>
            <w:top w:val="none" w:sz="0" w:space="0" w:color="auto"/>
            <w:left w:val="none" w:sz="0" w:space="0" w:color="auto"/>
            <w:bottom w:val="none" w:sz="0" w:space="0" w:color="auto"/>
            <w:right w:val="none" w:sz="0" w:space="0" w:color="auto"/>
          </w:divBdr>
          <w:divsChild>
            <w:div w:id="735855037">
              <w:marLeft w:val="0"/>
              <w:marRight w:val="0"/>
              <w:marTop w:val="0"/>
              <w:marBottom w:val="0"/>
              <w:divBdr>
                <w:top w:val="none" w:sz="0" w:space="0" w:color="auto"/>
                <w:left w:val="none" w:sz="0" w:space="0" w:color="auto"/>
                <w:bottom w:val="none" w:sz="0" w:space="0" w:color="auto"/>
                <w:right w:val="none" w:sz="0" w:space="0" w:color="auto"/>
              </w:divBdr>
              <w:divsChild>
                <w:div w:id="1957366192">
                  <w:marLeft w:val="0"/>
                  <w:marRight w:val="0"/>
                  <w:marTop w:val="0"/>
                  <w:marBottom w:val="0"/>
                  <w:divBdr>
                    <w:top w:val="none" w:sz="0" w:space="0" w:color="auto"/>
                    <w:left w:val="none" w:sz="0" w:space="0" w:color="auto"/>
                    <w:bottom w:val="none" w:sz="0" w:space="0" w:color="auto"/>
                    <w:right w:val="none" w:sz="0" w:space="0" w:color="auto"/>
                  </w:divBdr>
                  <w:divsChild>
                    <w:div w:id="1137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83058666">
      <w:bodyDiv w:val="1"/>
      <w:marLeft w:val="0"/>
      <w:marRight w:val="0"/>
      <w:marTop w:val="0"/>
      <w:marBottom w:val="0"/>
      <w:divBdr>
        <w:top w:val="none" w:sz="0" w:space="0" w:color="auto"/>
        <w:left w:val="none" w:sz="0" w:space="0" w:color="auto"/>
        <w:bottom w:val="none" w:sz="0" w:space="0" w:color="auto"/>
        <w:right w:val="none" w:sz="0" w:space="0" w:color="auto"/>
      </w:divBdr>
      <w:divsChild>
        <w:div w:id="1053887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85527234">
      <w:bodyDiv w:val="1"/>
      <w:marLeft w:val="0"/>
      <w:marRight w:val="0"/>
      <w:marTop w:val="0"/>
      <w:marBottom w:val="0"/>
      <w:divBdr>
        <w:top w:val="none" w:sz="0" w:space="0" w:color="auto"/>
        <w:left w:val="none" w:sz="0" w:space="0" w:color="auto"/>
        <w:bottom w:val="none" w:sz="0" w:space="0" w:color="auto"/>
        <w:right w:val="none" w:sz="0" w:space="0" w:color="auto"/>
      </w:divBdr>
    </w:div>
    <w:div w:id="1689328159">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eedomhouse.org/country/kyrgyzstan/freedom-world/2025" TargetMode="External"/><Relationship Id="rId18" Type="http://schemas.openxmlformats.org/officeDocument/2006/relationships/hyperlink" Target="https://iphronline.org/articles/monitoring-the-criminal-justice-sector-in-kyrgyzstan-trial-stage/" TargetMode="External"/><Relationship Id="rId26" Type="http://schemas.openxmlformats.org/officeDocument/2006/relationships/hyperlink" Target="https://www.ecoi.net/en/document/2128460.html" TargetMode="External"/><Relationship Id="rId39" Type="http://schemas.openxmlformats.org/officeDocument/2006/relationships/customXml" Target="../customXml/item6.xml"/><Relationship Id="rId21" Type="http://schemas.openxmlformats.org/officeDocument/2006/relationships/hyperlink" Target="https://iphronline.org/articles/monitoring-the-criminal-justice-sector-in-kyrgyzstan-legal-ai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reedomhouse.org/country/kyrgyzstan/freedom-world/2026" TargetMode="External"/><Relationship Id="rId17" Type="http://schemas.openxmlformats.org/officeDocument/2006/relationships/hyperlink" Target="https://iphronline.org/wp-content/uploads/2025/04/eng-summary-of-analytical-report-on-the-pre-trial-stage-in-kyrgyz-r.pdf" TargetMode="External"/><Relationship Id="rId25" Type="http://schemas.openxmlformats.org/officeDocument/2006/relationships/hyperlink" Target="https://www.uscirf.gov/sites/default/files/2023-10/2023%20Kyrgyzstan%20Country%20Update_Oct.pdf" TargetMode="External"/><Relationship Id="rId33" Type="http://schemas.openxmlformats.org/officeDocument/2006/relationships/glossaryDocument" Target="glossary/document.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iphronline.org/articles/kyrgyzstan-hopes-for-a-thaw-recede-amid-renewed-persecution-of-critical-voices/" TargetMode="External"/><Relationship Id="rId20" Type="http://schemas.openxmlformats.org/officeDocument/2006/relationships/hyperlink" Target="https://iphronline.org/articles/monitoring-the-criminal-justice-sector-in-kyrgyzstan-pre-trial-stag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um18.org/archive.php?article_id=2961&amp;utm" TargetMode="External"/><Relationship Id="rId24" Type="http://schemas.openxmlformats.org/officeDocument/2006/relationships/hyperlink" Target="https://www.uscirf.gov/sites/default/files/2025-10/2025%20Kyrgyzstan%20Country%20Update.pdf" TargetMode="External"/><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hrw.org/world-report/2026/country-chapters/kyrgyzstan" TargetMode="External"/><Relationship Id="rId23" Type="http://schemas.openxmlformats.org/officeDocument/2006/relationships/hyperlink" Target="https://www.ecoi.net/en/file/local/2137793/USCIRF%202026%20Annual%20Report%20Kyrgyzstan.pdf" TargetMode="External"/><Relationship Id="rId28" Type="http://schemas.openxmlformats.org/officeDocument/2006/relationships/hyperlink" Target="https://iris.who.int/server/api/core/bitstreams/0ab44fac-6792-4a85-b706-5a893de991b8/content" TargetMode="External"/><Relationship Id="rId36" Type="http://schemas.openxmlformats.org/officeDocument/2006/relationships/customXml" Target="../customXml/item3.xml"/><Relationship Id="rId10" Type="http://schemas.openxmlformats.org/officeDocument/2006/relationships/hyperlink" Target="https://bti-project.org/fileadmin/api/content/en/downloads/reports/country_report_2024_KGZ.pdf" TargetMode="External"/><Relationship Id="rId19" Type="http://schemas.openxmlformats.org/officeDocument/2006/relationships/hyperlink" Target="https://iphronline.org/articles/monitoring-the-criminal-justice-sector-in-kyrgyzstan-the-judicial-syste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oi.net/en/file/local/2138418/country_report_2026_KGZ.pdf" TargetMode="External"/><Relationship Id="rId14" Type="http://schemas.openxmlformats.org/officeDocument/2006/relationships/hyperlink" Target="https://freedomhouse.org/country/kyrgyzstan/freedom-world/2024" TargetMode="External"/><Relationship Id="rId22" Type="http://schemas.openxmlformats.org/officeDocument/2006/relationships/hyperlink" Target="https://www.omct.org/site-resources/files/factsheets/Factsheet-Kyrgyzstan-EN.pdf" TargetMode="External"/><Relationship Id="rId27" Type="http://schemas.openxmlformats.org/officeDocument/2006/relationships/hyperlink" Target="https://www.ecoi.net/en/document/2111899.html" TargetMode="External"/><Relationship Id="rId30" Type="http://schemas.openxmlformats.org/officeDocument/2006/relationships/header" Target="header2.xml"/><Relationship Id="rId35" Type="http://schemas.openxmlformats.org/officeDocument/2006/relationships/customXml" Target="../customXml/item2.xml"/><Relationship Id="rId8" Type="http://schemas.openxmlformats.org/officeDocument/2006/relationships/hyperlink" Target="https://www.ecoi.net/en/document/2139339.html"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D2780EEC9940C09F4D09452660EB92"/>
        <w:category>
          <w:name w:val="Yleiset"/>
          <w:gallery w:val="placeholder"/>
        </w:category>
        <w:types>
          <w:type w:val="bbPlcHdr"/>
        </w:types>
        <w:behaviors>
          <w:behavior w:val="content"/>
        </w:behaviors>
        <w:guid w:val="{A580E4FE-4011-4FD9-B43F-EF9AAF21E8A9}"/>
      </w:docPartPr>
      <w:docPartBody>
        <w:p w:rsidR="005B34DA" w:rsidRDefault="005B34DA">
          <w:pPr>
            <w:pStyle w:val="5BD2780EEC9940C09F4D09452660EB92"/>
          </w:pPr>
          <w:r w:rsidRPr="00AA10D2">
            <w:rPr>
              <w:rStyle w:val="Paikkamerkkiteksti"/>
            </w:rPr>
            <w:t>Kirjoita tekstiä napsauttamalla tai napauttamalla tätä.</w:t>
          </w:r>
        </w:p>
      </w:docPartBody>
    </w:docPart>
    <w:docPart>
      <w:docPartPr>
        <w:name w:val="2027734F2C8447F9BD9D38C7CDD5031D"/>
        <w:category>
          <w:name w:val="Yleiset"/>
          <w:gallery w:val="placeholder"/>
        </w:category>
        <w:types>
          <w:type w:val="bbPlcHdr"/>
        </w:types>
        <w:behaviors>
          <w:behavior w:val="content"/>
        </w:behaviors>
        <w:guid w:val="{6A7FE002-2AF3-430F-94B3-2A0882118740}"/>
      </w:docPartPr>
      <w:docPartBody>
        <w:p w:rsidR="005B34DA" w:rsidRDefault="005B34DA">
          <w:pPr>
            <w:pStyle w:val="2027734F2C8447F9BD9D38C7CDD5031D"/>
          </w:pPr>
          <w:r w:rsidRPr="00AA10D2">
            <w:rPr>
              <w:rStyle w:val="Paikkamerkkiteksti"/>
            </w:rPr>
            <w:t>Kirjoita tekstiä napsauttamalla tai napauttamalla tätä.</w:t>
          </w:r>
        </w:p>
      </w:docPartBody>
    </w:docPart>
    <w:docPart>
      <w:docPartPr>
        <w:name w:val="6A70521CE7FB44B38F28F17895F91C3A"/>
        <w:category>
          <w:name w:val="Yleiset"/>
          <w:gallery w:val="placeholder"/>
        </w:category>
        <w:types>
          <w:type w:val="bbPlcHdr"/>
        </w:types>
        <w:behaviors>
          <w:behavior w:val="content"/>
        </w:behaviors>
        <w:guid w:val="{BF6F7B85-9DB9-450C-92D7-7FD6FFD09444}"/>
      </w:docPartPr>
      <w:docPartBody>
        <w:p w:rsidR="005B34DA" w:rsidRDefault="005B34DA">
          <w:pPr>
            <w:pStyle w:val="6A70521CE7FB44B38F28F17895F91C3A"/>
          </w:pPr>
          <w:r w:rsidRPr="00810134">
            <w:rPr>
              <w:rStyle w:val="Paikkamerkkiteksti"/>
              <w:lang w:val="en-GB"/>
            </w:rPr>
            <w:t>.</w:t>
          </w:r>
        </w:p>
      </w:docPartBody>
    </w:docPart>
    <w:docPart>
      <w:docPartPr>
        <w:name w:val="B8B6F460F9CA412A92C0F6F373526F9D"/>
        <w:category>
          <w:name w:val="Yleiset"/>
          <w:gallery w:val="placeholder"/>
        </w:category>
        <w:types>
          <w:type w:val="bbPlcHdr"/>
        </w:types>
        <w:behaviors>
          <w:behavior w:val="content"/>
        </w:behaviors>
        <w:guid w:val="{75703075-8920-4209-A0E9-A0B9718602F7}"/>
      </w:docPartPr>
      <w:docPartBody>
        <w:p w:rsidR="005B34DA" w:rsidRDefault="005B34DA">
          <w:pPr>
            <w:pStyle w:val="B8B6F460F9CA412A92C0F6F373526F9D"/>
          </w:pPr>
          <w:r w:rsidRPr="00AA10D2">
            <w:rPr>
              <w:rStyle w:val="Paikkamerkkiteksti"/>
            </w:rPr>
            <w:t>Kirjoita tekstiä napsauttamalla tai napauttamalla tätä.</w:t>
          </w:r>
        </w:p>
      </w:docPartBody>
    </w:docPart>
    <w:docPart>
      <w:docPartPr>
        <w:name w:val="C8696125A419406A87A932F31E3E94B0"/>
        <w:category>
          <w:name w:val="Yleiset"/>
          <w:gallery w:val="placeholder"/>
        </w:category>
        <w:types>
          <w:type w:val="bbPlcHdr"/>
        </w:types>
        <w:behaviors>
          <w:behavior w:val="content"/>
        </w:behaviors>
        <w:guid w:val="{D9E49CDB-D4D6-4BE3-A370-83FF93F8C422}"/>
      </w:docPartPr>
      <w:docPartBody>
        <w:p w:rsidR="005B34DA" w:rsidRDefault="005B34DA">
          <w:pPr>
            <w:pStyle w:val="C8696125A419406A87A932F31E3E94B0"/>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4DA"/>
    <w:rsid w:val="003871B9"/>
    <w:rsid w:val="005B34D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5BD2780EEC9940C09F4D09452660EB92">
    <w:name w:val="5BD2780EEC9940C09F4D09452660EB92"/>
  </w:style>
  <w:style w:type="paragraph" w:customStyle="1" w:styleId="2027734F2C8447F9BD9D38C7CDD5031D">
    <w:name w:val="2027734F2C8447F9BD9D38C7CDD5031D"/>
  </w:style>
  <w:style w:type="paragraph" w:customStyle="1" w:styleId="6A70521CE7FB44B38F28F17895F91C3A">
    <w:name w:val="6A70521CE7FB44B38F28F17895F91C3A"/>
  </w:style>
  <w:style w:type="paragraph" w:customStyle="1" w:styleId="B8B6F460F9CA412A92C0F6F373526F9D">
    <w:name w:val="B8B6F460F9CA412A92C0F6F373526F9D"/>
  </w:style>
  <w:style w:type="paragraph" w:customStyle="1" w:styleId="C8696125A419406A87A932F31E3E94B0">
    <w:name w:val="C8696125A419406A87A932F31E3E94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JUDICIARY,ADMINISTRATION OF JUSTICE,RULE OF LAW,ACCESS TO JUSTICE,EQUALITY BEFORE THE LAW,CORRUPTION,LEGAL AID,CRIMINAL CODE,TERRORISM,EXTREMISM,POLICE,LAW ENFORCEMENT,STATE PROTECTION,INVESTIGATION,PROSECUTION,COURTS OF LAW,ISLAM,FREEDOM OF RELIGION</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Kyrgyzstan</TermName>
          <TermId xmlns="http://schemas.microsoft.com/office/infopath/2007/PartnerControls">a70ba889-8432-4d1d-935d-f741502ad152</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2026-10-07T22:00:00+00:00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116</Value>
      <Value>99</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61</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1121</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7164C77F-0929-4B08-A606-5D8357A629E5}"/>
</file>

<file path=customXml/itemProps3.xml><?xml version="1.0" encoding="utf-8"?>
<ds:datastoreItem xmlns:ds="http://schemas.openxmlformats.org/officeDocument/2006/customXml" ds:itemID="{8ADB01CF-CEE3-4104-9E6F-BCEA26E15F99}"/>
</file>

<file path=customXml/itemProps4.xml><?xml version="1.0" encoding="utf-8"?>
<ds:datastoreItem xmlns:ds="http://schemas.openxmlformats.org/officeDocument/2006/customXml" ds:itemID="{7903BB3F-ACD6-46C8-B825-2C83FBDC1567}"/>
</file>

<file path=customXml/itemProps5.xml><?xml version="1.0" encoding="utf-8"?>
<ds:datastoreItem xmlns:ds="http://schemas.openxmlformats.org/officeDocument/2006/customXml" ds:itemID="{99EA5719-7FDE-4F62-A026-C1C81A166A01}"/>
</file>

<file path=customXml/itemProps6.xml><?xml version="1.0" encoding="utf-8"?>
<ds:datastoreItem xmlns:ds="http://schemas.openxmlformats.org/officeDocument/2006/customXml" ds:itemID="{177382ED-3EBC-4BF6-B055-FFCB7FCD0EF8}"/>
</file>

<file path=docProps/app.xml><?xml version="1.0" encoding="utf-8"?>
<Properties xmlns="http://schemas.openxmlformats.org/officeDocument/2006/extended-properties" xmlns:vt="http://schemas.openxmlformats.org/officeDocument/2006/docPropsVTypes">
  <Template>Maatietopalvelu kyselyvastaus</Template>
  <TotalTime>0</TotalTime>
  <Pages>11</Pages>
  <Words>3671</Words>
  <Characters>29742</Characters>
  <Application>Microsoft Office Word</Application>
  <DocSecurity>0</DocSecurity>
  <Lines>247</Lines>
  <Paragraphs>66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Kirgisistan / Viranomaissuojelun saatavuus, islamista luopuneiden tilanne, terveydenhuolto // Kyrgyzstan / Access to government protection, the situation of those who have renounced Islam, health care</dc:title>
  <dc:creator/>
  <cp:lastModifiedBy/>
  <cp:revision>1</cp:revision>
  <dcterms:created xsi:type="dcterms:W3CDTF">2026-09-24T12:09:00Z</dcterms:created>
  <dcterms:modified xsi:type="dcterms:W3CDTF">2026-10-08T10:20:00Z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99;#Kyrgyzstan|a70ba889-8432-4d1d-935d-f741502ad152</vt:lpwstr>
  </property>
  <property fmtid="{D5CDD505-2E9C-101B-9397-08002B2CF9AE}" pid="8" name="COIInformTypeMM">
    <vt:lpwstr>4;#Response to COI Query|74af11f0-82c2-4825-bd8f-d6b1cac3a3aa</vt:lpwstr>
  </property>
</Properties>
</file>