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DF29" w14:textId="77777777" w:rsidR="00873A37" w:rsidRDefault="00873A37" w:rsidP="00873A37">
      <w:pPr>
        <w:spacing w:after="0"/>
        <w:rPr>
          <w:rStyle w:val="Otsikko1Char"/>
          <w:rFonts w:eastAsiaTheme="minorHAnsi" w:cstheme="minorHAnsi"/>
          <w:color w:val="auto"/>
          <w:sz w:val="20"/>
          <w:szCs w:val="22"/>
        </w:rPr>
      </w:pPr>
      <w:bookmarkStart w:id="0" w:name="_GoBack"/>
      <w:bookmarkEnd w:id="0"/>
      <w:r>
        <w:rPr>
          <w:rStyle w:val="Otsikko1Char"/>
          <w:rFonts w:eastAsiaTheme="minorHAnsi" w:cstheme="minorHAnsi"/>
          <w:color w:val="auto"/>
          <w:sz w:val="20"/>
          <w:szCs w:val="22"/>
        </w:rPr>
        <w:t>Maatietopalvelu</w:t>
      </w:r>
    </w:p>
    <w:p w14:paraId="3A9F07A7" w14:textId="77777777" w:rsidR="00873A37" w:rsidRPr="00873A37" w:rsidRDefault="00873A37" w:rsidP="00873A37">
      <w:pPr>
        <w:spacing w:before="0"/>
        <w:rPr>
          <w:rStyle w:val="Otsikko1Char"/>
          <w:rFonts w:eastAsiaTheme="minorHAnsi" w:cstheme="minorHAnsi"/>
          <w:b w:val="0"/>
          <w:color w:val="auto"/>
          <w:sz w:val="20"/>
          <w:szCs w:val="22"/>
        </w:rPr>
      </w:pPr>
      <w:r>
        <w:rPr>
          <w:rStyle w:val="Otsikko1Char"/>
          <w:rFonts w:eastAsiaTheme="minorHAnsi" w:cstheme="minorHAnsi"/>
          <w:b w:val="0"/>
          <w:color w:val="auto"/>
          <w:sz w:val="20"/>
          <w:szCs w:val="22"/>
        </w:rPr>
        <w:t>Kyselyvastaus</w:t>
      </w:r>
    </w:p>
    <w:p w14:paraId="01F570C2" w14:textId="77777777" w:rsidR="00800AA9" w:rsidRPr="00800AA9" w:rsidRDefault="00800AA9" w:rsidP="00C348A3">
      <w:pPr>
        <w:spacing w:before="0" w:after="0"/>
      </w:pPr>
      <w:r w:rsidRPr="00BB7F45">
        <w:rPr>
          <w:b/>
        </w:rPr>
        <w:t>Asiakirjan tunnus:</w:t>
      </w:r>
      <w:r>
        <w:t xml:space="preserve"> KT</w:t>
      </w:r>
      <w:r w:rsidR="00EC76FF">
        <w:t>843</w:t>
      </w:r>
    </w:p>
    <w:p w14:paraId="3FF362D9" w14:textId="28DE1D9B" w:rsidR="00800AA9" w:rsidRDefault="00800AA9" w:rsidP="00C348A3">
      <w:pPr>
        <w:spacing w:before="0" w:after="0"/>
      </w:pPr>
      <w:r w:rsidRPr="00BB7F45">
        <w:rPr>
          <w:b/>
        </w:rPr>
        <w:t>Päivämäärä</w:t>
      </w:r>
      <w:r>
        <w:t xml:space="preserve">: </w:t>
      </w:r>
      <w:r w:rsidR="00A744EF" w:rsidRPr="00A744EF">
        <w:t>8</w:t>
      </w:r>
      <w:r w:rsidR="00E72EDE" w:rsidRPr="00A744EF">
        <w:t>.3.2024</w:t>
      </w:r>
    </w:p>
    <w:p w14:paraId="7723E44A" w14:textId="77777777" w:rsidR="00800AA9" w:rsidRPr="00800AA9" w:rsidRDefault="00800AA9" w:rsidP="00C348A3">
      <w:pPr>
        <w:spacing w:before="0"/>
        <w:rPr>
          <w:rStyle w:val="Otsikko1Char"/>
          <w:rFonts w:eastAsiaTheme="minorHAnsi" w:cstheme="minorHAnsi"/>
          <w:b w:val="0"/>
          <w:color w:val="auto"/>
          <w:sz w:val="20"/>
          <w:szCs w:val="22"/>
        </w:rPr>
      </w:pPr>
      <w:r w:rsidRPr="00BB7F45">
        <w:rPr>
          <w:b/>
        </w:rPr>
        <w:t>Julkisuus:</w:t>
      </w:r>
      <w:r>
        <w:t xml:space="preserve"> Julkinen </w:t>
      </w:r>
    </w:p>
    <w:p w14:paraId="36F9EA56" w14:textId="77777777" w:rsidR="00800AA9" w:rsidRPr="00633BBD" w:rsidRDefault="00192FA7" w:rsidP="00800AA9">
      <w:pPr>
        <w:rPr>
          <w:rStyle w:val="Otsikko1Char"/>
          <w:b w:val="0"/>
          <w:sz w:val="20"/>
          <w:szCs w:val="20"/>
        </w:rPr>
      </w:pPr>
      <w:r>
        <w:rPr>
          <w:b/>
        </w:rPr>
        <w:pict w14:anchorId="153A92D5">
          <v:rect id="_x0000_i1026" style="width:0;height:1.5pt" o:hralign="center" o:hrstd="t" o:hr="t" fillcolor="#a0a0a0" stroked="f"/>
        </w:pict>
      </w:r>
    </w:p>
    <w:p w14:paraId="2C9FBE09" w14:textId="77777777" w:rsidR="008020E6" w:rsidRPr="00543F66" w:rsidRDefault="00192FA7" w:rsidP="009751A5">
      <w:pPr>
        <w:pStyle w:val="POTSIKKO"/>
        <w:rPr>
          <w:rStyle w:val="Otsikko1Char"/>
          <w:rFonts w:cs="Times New Roman"/>
          <w:b/>
          <w:szCs w:val="24"/>
        </w:rPr>
      </w:pPr>
      <w:sdt>
        <w:sdtPr>
          <w:rPr>
            <w:rStyle w:val="Otsikko1Char"/>
            <w:rFonts w:cs="Times New Roman"/>
            <w:b/>
            <w:szCs w:val="24"/>
          </w:rPr>
          <w:alias w:val="Maa / Otsikko"/>
          <w:tag w:val="Otsikko"/>
          <w:id w:val="597070427"/>
          <w:placeholder>
            <w:docPart w:val="0405E769A28042D8B915C3A0AC70F815"/>
          </w:placeholder>
          <w:text/>
        </w:sdtPr>
        <w:sdtEndPr>
          <w:rPr>
            <w:rStyle w:val="Otsikko1Char"/>
          </w:rPr>
        </w:sdtEndPr>
        <w:sdtContent>
          <w:r w:rsidR="00EC76FF">
            <w:rPr>
              <w:rStyle w:val="Otsikko1Char"/>
              <w:rFonts w:cs="Times New Roman"/>
              <w:b/>
              <w:szCs w:val="24"/>
            </w:rPr>
            <w:t>Turkki</w:t>
          </w:r>
          <w:r w:rsidR="00EC76FF" w:rsidRPr="00EC76FF">
            <w:rPr>
              <w:rStyle w:val="Otsikko1Char"/>
              <w:rFonts w:cs="Times New Roman"/>
              <w:b/>
              <w:szCs w:val="24"/>
            </w:rPr>
            <w:t xml:space="preserve"> / </w:t>
          </w:r>
          <w:r w:rsidR="001B4147">
            <w:rPr>
              <w:rStyle w:val="Otsikko1Char"/>
              <w:rFonts w:cs="Times New Roman"/>
              <w:b/>
              <w:szCs w:val="24"/>
            </w:rPr>
            <w:t>O</w:t>
          </w:r>
          <w:r w:rsidR="00EC76FF" w:rsidRPr="00EC76FF">
            <w:rPr>
              <w:rStyle w:val="Otsikko1Char"/>
              <w:rFonts w:cs="Times New Roman"/>
              <w:b/>
              <w:szCs w:val="24"/>
            </w:rPr>
            <w:t xml:space="preserve">ikeusprosessi rikosasioissa, </w:t>
          </w:r>
          <w:proofErr w:type="spellStart"/>
          <w:r w:rsidR="00EC76FF">
            <w:rPr>
              <w:rStyle w:val="Otsikko1Char"/>
              <w:rFonts w:cs="Times New Roman"/>
              <w:b/>
              <w:szCs w:val="24"/>
            </w:rPr>
            <w:t>v</w:t>
          </w:r>
          <w:r w:rsidR="00EC76FF" w:rsidRPr="00EC76FF">
            <w:rPr>
              <w:rStyle w:val="Otsikko1Char"/>
              <w:rFonts w:cs="Times New Roman"/>
              <w:b/>
              <w:szCs w:val="24"/>
            </w:rPr>
            <w:t>ankilaolot</w:t>
          </w:r>
          <w:proofErr w:type="spellEnd"/>
          <w:r w:rsidR="001B4147">
            <w:rPr>
              <w:rStyle w:val="Otsikko1Char"/>
              <w:rFonts w:cs="Times New Roman"/>
              <w:b/>
              <w:szCs w:val="24"/>
            </w:rPr>
            <w:t>, kidutus ja muu epäinhimillinen</w:t>
          </w:r>
          <w:r w:rsidR="00E9759C">
            <w:rPr>
              <w:rStyle w:val="Otsikko1Char"/>
              <w:rFonts w:cs="Times New Roman"/>
              <w:b/>
              <w:szCs w:val="24"/>
            </w:rPr>
            <w:t xml:space="preserve"> tai halventava</w:t>
          </w:r>
          <w:r w:rsidR="001B4147">
            <w:rPr>
              <w:rStyle w:val="Otsikko1Char"/>
              <w:rFonts w:cs="Times New Roman"/>
              <w:b/>
              <w:szCs w:val="24"/>
            </w:rPr>
            <w:t xml:space="preserve"> kohtelu</w:t>
          </w:r>
        </w:sdtContent>
      </w:sdt>
    </w:p>
    <w:sdt>
      <w:sdtPr>
        <w:rPr>
          <w:rStyle w:val="Otsikko1Char"/>
          <w:rFonts w:cs="Times New Roman"/>
          <w:b/>
          <w:szCs w:val="24"/>
          <w:lang w:val="en-US"/>
        </w:rPr>
        <w:alias w:val="Country / Title in English"/>
        <w:tag w:val="Country / Title in English"/>
        <w:id w:val="2146699517"/>
        <w:lock w:val="sdtLocked"/>
        <w:placeholder>
          <w:docPart w:val="C2686FC1DE884B2592461A9656E013C1"/>
        </w:placeholder>
        <w:text/>
      </w:sdtPr>
      <w:sdtEndPr>
        <w:rPr>
          <w:rStyle w:val="Kappaleenoletusfontti"/>
          <w:rFonts w:eastAsia="Times New Roman"/>
        </w:rPr>
      </w:sdtEndPr>
      <w:sdtContent>
        <w:p w14:paraId="074A1C1D" w14:textId="77777777" w:rsidR="00082DFE" w:rsidRPr="001B4147" w:rsidRDefault="00EC76FF" w:rsidP="009751A5">
          <w:pPr>
            <w:pStyle w:val="POTSIKKO"/>
            <w:rPr>
              <w:lang w:val="en-US"/>
            </w:rPr>
          </w:pPr>
          <w:r w:rsidRPr="001B4147">
            <w:rPr>
              <w:rStyle w:val="Otsikko1Char"/>
              <w:rFonts w:cs="Times New Roman"/>
              <w:b/>
              <w:szCs w:val="24"/>
              <w:lang w:val="en-US"/>
            </w:rPr>
            <w:t>Turkey</w:t>
          </w:r>
          <w:r w:rsidR="00810134" w:rsidRPr="001B4147">
            <w:rPr>
              <w:rStyle w:val="Otsikko1Char"/>
              <w:rFonts w:cs="Times New Roman"/>
              <w:b/>
              <w:szCs w:val="24"/>
              <w:lang w:val="en-US"/>
            </w:rPr>
            <w:t xml:space="preserve"> /</w:t>
          </w:r>
          <w:r w:rsidRPr="001B4147">
            <w:rPr>
              <w:rStyle w:val="Otsikko1Char"/>
              <w:rFonts w:cs="Times New Roman"/>
              <w:b/>
              <w:szCs w:val="24"/>
              <w:lang w:val="en-US"/>
            </w:rPr>
            <w:t xml:space="preserve"> </w:t>
          </w:r>
          <w:r w:rsidR="001B4147" w:rsidRPr="001B4147">
            <w:rPr>
              <w:rStyle w:val="Otsikko1Char"/>
              <w:rFonts w:cs="Times New Roman"/>
              <w:b/>
              <w:szCs w:val="24"/>
              <w:lang w:val="en-US"/>
            </w:rPr>
            <w:t>Criminal justice process, p</w:t>
          </w:r>
          <w:r w:rsidR="001B4147">
            <w:rPr>
              <w:rStyle w:val="Otsikko1Char"/>
              <w:rFonts w:cs="Times New Roman"/>
              <w:b/>
              <w:szCs w:val="24"/>
              <w:lang w:val="en-US"/>
            </w:rPr>
            <w:t xml:space="preserve">rison conditions, torture and other inhuman </w:t>
          </w:r>
          <w:r w:rsidR="00E9759C">
            <w:rPr>
              <w:rStyle w:val="Otsikko1Char"/>
              <w:rFonts w:cs="Times New Roman"/>
              <w:b/>
              <w:szCs w:val="24"/>
              <w:lang w:val="en-US"/>
            </w:rPr>
            <w:t xml:space="preserve">or degrading </w:t>
          </w:r>
          <w:r w:rsidR="001B4147">
            <w:rPr>
              <w:rStyle w:val="Otsikko1Char"/>
              <w:rFonts w:cs="Times New Roman"/>
              <w:b/>
              <w:szCs w:val="24"/>
              <w:lang w:val="en-US"/>
            </w:rPr>
            <w:t>treatment</w:t>
          </w:r>
        </w:p>
      </w:sdtContent>
    </w:sdt>
    <w:p w14:paraId="41254AE5" w14:textId="77777777" w:rsidR="00082DFE" w:rsidRDefault="00192FA7" w:rsidP="00082DFE">
      <w:pPr>
        <w:rPr>
          <w:b/>
        </w:rPr>
      </w:pPr>
      <w:r>
        <w:rPr>
          <w:b/>
        </w:rPr>
        <w:pict w14:anchorId="031FBAB1">
          <v:rect id="_x0000_i1027" style="width:0;height:1.5pt" o:hralign="center" o:hrstd="t" o:hr="t" fillcolor="#a0a0a0" stroked="f"/>
        </w:pict>
      </w:r>
    </w:p>
    <w:p w14:paraId="4EB6FC2C" w14:textId="77777777" w:rsidR="00082DFE" w:rsidRDefault="00082DFE" w:rsidP="00C348A3">
      <w:pPr>
        <w:pStyle w:val="Numeroimatonotsikko"/>
      </w:pPr>
      <w:r w:rsidRPr="00082DFE">
        <w:t>Kys</w:t>
      </w:r>
      <w:r>
        <w:t>ymykset</w:t>
      </w:r>
    </w:p>
    <w:bookmarkStart w:id="1" w:name="_Hlk160627701" w:displacedByCustomXml="next"/>
    <w:sdt>
      <w:sdtPr>
        <w:rPr>
          <w:rStyle w:val="KysymyksetChar"/>
        </w:rPr>
        <w:alias w:val="Kysymykset"/>
        <w:tag w:val="Täytä kysymykset tähän"/>
        <w:id w:val="527610168"/>
        <w:lock w:val="sdtLocked"/>
        <w:placeholder>
          <w:docPart w:val="6A13373258AE4ED1993957B3F6129DB8"/>
        </w:placeholder>
      </w:sdtPr>
      <w:sdtEndPr>
        <w:rPr>
          <w:rStyle w:val="Kappaleenoletusfontti"/>
          <w:color w:val="404040" w:themeColor="text1" w:themeTint="BF"/>
        </w:rPr>
      </w:sdtEndPr>
      <w:sdtContent>
        <w:sdt>
          <w:sdtPr>
            <w:rPr>
              <w:rStyle w:val="KysymyksetChar"/>
            </w:rPr>
            <w:alias w:val="Questions"/>
            <w:tag w:val="Fill in the questions here"/>
            <w:id w:val="353243802"/>
            <w:placeholder>
              <w:docPart w:val="77D58D55A7BD41CB9965FE2B5544230D"/>
            </w:placeholder>
            <w:text w:multiLine="1"/>
          </w:sdtPr>
          <w:sdtEndPr>
            <w:rPr>
              <w:rStyle w:val="KysymyksetChar"/>
            </w:rPr>
          </w:sdtEndPr>
          <w:sdtContent>
            <w:p w14:paraId="5CF4FAAD" w14:textId="77777777" w:rsidR="00810134" w:rsidRPr="001678AD" w:rsidRDefault="009751A5" w:rsidP="00EC76FF">
              <w:pPr>
                <w:pStyle w:val="Lainaus"/>
                <w:ind w:left="0"/>
                <w:jc w:val="left"/>
                <w:rPr>
                  <w:i w:val="0"/>
                  <w:iCs w:val="0"/>
                  <w:color w:val="000000" w:themeColor="text1"/>
                </w:rPr>
              </w:pPr>
              <w:r w:rsidRPr="009751A5">
                <w:rPr>
                  <w:rStyle w:val="KysymyksetChar"/>
                </w:rPr>
                <w:t>1. Onko Turkissa mahdollisuutta oikeusapuun, oikeudenmukaiseen oikeudenkäyntiin ja valittamiseen rikosasioissa?</w:t>
              </w:r>
              <w:r w:rsidRPr="009751A5">
                <w:rPr>
                  <w:rStyle w:val="KysymyksetChar"/>
                </w:rPr>
                <w:br/>
                <w:t xml:space="preserve">2. Millaiset ovat Turkin vankilaolosuhteet? </w:t>
              </w:r>
              <w:r w:rsidRPr="009751A5">
                <w:rPr>
                  <w:rStyle w:val="KysymyksetChar"/>
                </w:rPr>
                <w:br/>
              </w:r>
              <w:bookmarkStart w:id="2" w:name="_Hlk159489334"/>
              <w:r w:rsidRPr="009751A5">
                <w:rPr>
                  <w:rStyle w:val="KysymyksetChar"/>
                </w:rPr>
                <w:t xml:space="preserve">3. </w:t>
              </w:r>
              <w:r w:rsidR="004E2BE1">
                <w:rPr>
                  <w:rStyle w:val="KysymyksetChar"/>
                </w:rPr>
                <w:t>Kuinka yleistä</w:t>
              </w:r>
              <w:r w:rsidRPr="009751A5">
                <w:rPr>
                  <w:rStyle w:val="KysymyksetChar"/>
                </w:rPr>
                <w:t xml:space="preserve"> vankiin kohdistuva kidutu</w:t>
              </w:r>
              <w:r w:rsidR="004E2BE1">
                <w:rPr>
                  <w:rStyle w:val="KysymyksetChar"/>
                </w:rPr>
                <w:t>s ja</w:t>
              </w:r>
              <w:r w:rsidRPr="009751A5">
                <w:rPr>
                  <w:rStyle w:val="KysymyksetChar"/>
                </w:rPr>
                <w:t xml:space="preserve"> </w:t>
              </w:r>
              <w:r w:rsidR="004E2BE1">
                <w:rPr>
                  <w:rStyle w:val="KysymyksetChar"/>
                </w:rPr>
                <w:t xml:space="preserve">muu </w:t>
              </w:r>
              <w:r w:rsidRPr="009751A5">
                <w:rPr>
                  <w:rStyle w:val="KysymyksetChar"/>
                </w:rPr>
                <w:t>epäinhimilli</w:t>
              </w:r>
              <w:r w:rsidR="004E2BE1">
                <w:rPr>
                  <w:rStyle w:val="KysymyksetChar"/>
                </w:rPr>
                <w:t>n</w:t>
              </w:r>
              <w:r w:rsidRPr="009751A5">
                <w:rPr>
                  <w:rStyle w:val="KysymyksetChar"/>
                </w:rPr>
                <w:t xml:space="preserve">en </w:t>
              </w:r>
              <w:r w:rsidR="004E2BE1">
                <w:rPr>
                  <w:rStyle w:val="KysymyksetChar"/>
                </w:rPr>
                <w:t xml:space="preserve">tai halventava </w:t>
              </w:r>
              <w:r w:rsidRPr="009751A5">
                <w:rPr>
                  <w:rStyle w:val="KysymyksetChar"/>
                </w:rPr>
                <w:t>kohtelu</w:t>
              </w:r>
              <w:r w:rsidR="004E2BE1">
                <w:rPr>
                  <w:rStyle w:val="KysymyksetChar"/>
                </w:rPr>
                <w:t xml:space="preserve"> o</w:t>
              </w:r>
              <w:r w:rsidRPr="009751A5">
                <w:rPr>
                  <w:rStyle w:val="KysymyksetChar"/>
                </w:rPr>
                <w:t>n</w:t>
              </w:r>
              <w:r w:rsidR="004E2BE1">
                <w:rPr>
                  <w:rStyle w:val="KysymyksetChar"/>
                </w:rPr>
                <w:t>?</w:t>
              </w:r>
              <w:r>
                <w:rPr>
                  <w:rStyle w:val="KysymyksetChar"/>
                </w:rPr>
                <w:t xml:space="preserve"> O</w:t>
              </w:r>
              <w:r w:rsidRPr="009751A5">
                <w:rPr>
                  <w:rStyle w:val="KysymyksetChar"/>
                </w:rPr>
                <w:t>nko ryhmiä, jotka ovat erityisen alttiita kidutukselle vankilassa? Kohdistuuko etnisten vähemmistöjen edustajiin</w:t>
              </w:r>
              <w:r w:rsidR="001B4147">
                <w:rPr>
                  <w:rStyle w:val="KysymyksetChar"/>
                </w:rPr>
                <w:t xml:space="preserve">, </w:t>
              </w:r>
              <w:r w:rsidRPr="009751A5">
                <w:rPr>
                  <w:rStyle w:val="KysymyksetChar"/>
                </w:rPr>
                <w:t>poliittisiin vankeihin tai sellaisiin vankeihin, joilla on taustaa poliittisesta tai yhteiskunnallisesta toiminnasta useammin huonoa kohtelua kuin muihin vankeihin?</w:t>
              </w:r>
            </w:p>
          </w:sdtContent>
        </w:sdt>
        <w:bookmarkEnd w:id="2" w:displacedByCustomXml="next"/>
      </w:sdtContent>
    </w:sdt>
    <w:bookmarkEnd w:id="1" w:displacedByCustomXml="prev"/>
    <w:p w14:paraId="3D419EC2" w14:textId="77777777" w:rsidR="00082DFE" w:rsidRPr="008969C5" w:rsidRDefault="00082DFE" w:rsidP="00C348A3">
      <w:pPr>
        <w:pStyle w:val="Numeroimatonotsikko"/>
        <w:rPr>
          <w:lang w:val="en-US"/>
        </w:rPr>
      </w:pPr>
      <w:r w:rsidRPr="008969C5">
        <w:rPr>
          <w:lang w:val="en-US"/>
        </w:rPr>
        <w:t>Questions</w:t>
      </w:r>
    </w:p>
    <w:sdt>
      <w:sdtPr>
        <w:rPr>
          <w:rStyle w:val="Otsikko3Char"/>
          <w:rFonts w:eastAsia="Calibri" w:cs="Calibri"/>
          <w:b w:val="0"/>
          <w:i/>
          <w:iCs/>
          <w:sz w:val="20"/>
          <w:szCs w:val="20"/>
          <w:lang w:val="en-US"/>
        </w:rPr>
        <w:alias w:val="Questions"/>
        <w:tag w:val="Fill in the questions here"/>
        <w:id w:val="-849104524"/>
        <w:lock w:val="sdtLocked"/>
        <w:placeholder>
          <w:docPart w:val="1C2820AE52F149B483CD3C6BCBF7E3F8"/>
        </w:placeholder>
        <w:text w:multiLine="1"/>
      </w:sdtPr>
      <w:sdtEndPr>
        <w:rPr>
          <w:rStyle w:val="Otsikko3Char"/>
        </w:rPr>
      </w:sdtEndPr>
      <w:sdtContent>
        <w:p w14:paraId="19743F23" w14:textId="77777777" w:rsidR="00082DFE" w:rsidRPr="00921274" w:rsidRDefault="004E2BE1" w:rsidP="00E9759C">
          <w:pPr>
            <w:pStyle w:val="Kysymykset"/>
            <w:rPr>
              <w:rStyle w:val="KysymyksetChar"/>
              <w:lang w:val="en-US"/>
            </w:rPr>
          </w:pPr>
          <w:r w:rsidRPr="00921274">
            <w:rPr>
              <w:rStyle w:val="Otsikko3Char"/>
              <w:rFonts w:eastAsia="Calibri" w:cs="Calibri"/>
              <w:b w:val="0"/>
              <w:i/>
              <w:iCs/>
              <w:sz w:val="20"/>
              <w:szCs w:val="20"/>
              <w:lang w:val="en-US"/>
            </w:rPr>
            <w:t>1. Is it possible to receive legal aid, a fair trial and make a complaint in a criminal justice case in Turkey?</w:t>
          </w:r>
          <w:r w:rsidRPr="00921274">
            <w:rPr>
              <w:rStyle w:val="Otsikko3Char"/>
              <w:rFonts w:eastAsia="Calibri" w:cs="Calibri"/>
              <w:b w:val="0"/>
              <w:i/>
              <w:iCs/>
              <w:sz w:val="20"/>
              <w:szCs w:val="20"/>
              <w:lang w:val="en-US"/>
            </w:rPr>
            <w:br/>
            <w:t xml:space="preserve">2. What are prison conditions in Turkey like? </w:t>
          </w:r>
          <w:r w:rsidRPr="00921274">
            <w:rPr>
              <w:rStyle w:val="Otsikko3Char"/>
              <w:rFonts w:eastAsia="Calibri" w:cs="Calibri"/>
              <w:b w:val="0"/>
              <w:i/>
              <w:iCs/>
              <w:sz w:val="20"/>
              <w:szCs w:val="20"/>
              <w:lang w:val="en-US"/>
            </w:rPr>
            <w:br/>
            <w:t>3. How prevalent is torture or other cruel, inhuman or degrading treatment? Are there groups that are more prone to becom</w:t>
          </w:r>
          <w:r w:rsidR="00921274" w:rsidRPr="00921274">
            <w:rPr>
              <w:rStyle w:val="Otsikko3Char"/>
              <w:rFonts w:eastAsia="Calibri" w:cs="Calibri"/>
              <w:b w:val="0"/>
              <w:i/>
              <w:iCs/>
              <w:sz w:val="20"/>
              <w:szCs w:val="20"/>
              <w:lang w:val="en-US"/>
            </w:rPr>
            <w:t>ing</w:t>
          </w:r>
          <w:r w:rsidRPr="00921274">
            <w:rPr>
              <w:rStyle w:val="Otsikko3Char"/>
              <w:rFonts w:eastAsia="Calibri" w:cs="Calibri"/>
              <w:b w:val="0"/>
              <w:i/>
              <w:iCs/>
              <w:sz w:val="20"/>
              <w:szCs w:val="20"/>
              <w:lang w:val="en-US"/>
            </w:rPr>
            <w:t xml:space="preserve"> victims of such treatment than others</w:t>
          </w:r>
          <w:r w:rsidR="00921274">
            <w:rPr>
              <w:rStyle w:val="Otsikko3Char"/>
              <w:rFonts w:eastAsia="Calibri" w:cs="Calibri"/>
              <w:b w:val="0"/>
              <w:i/>
              <w:iCs/>
              <w:sz w:val="20"/>
              <w:szCs w:val="20"/>
              <w:lang w:val="en-US"/>
            </w:rPr>
            <w:t xml:space="preserve"> in prisons</w:t>
          </w:r>
          <w:r w:rsidRPr="00921274">
            <w:rPr>
              <w:rStyle w:val="Otsikko3Char"/>
              <w:rFonts w:eastAsia="Calibri" w:cs="Calibri"/>
              <w:b w:val="0"/>
              <w:i/>
              <w:iCs/>
              <w:sz w:val="20"/>
              <w:szCs w:val="20"/>
              <w:lang w:val="en-US"/>
            </w:rPr>
            <w:t xml:space="preserve">? </w:t>
          </w:r>
          <w:r w:rsidR="00921274" w:rsidRPr="00921274">
            <w:rPr>
              <w:rStyle w:val="Otsikko3Char"/>
              <w:rFonts w:eastAsia="Calibri" w:cs="Calibri"/>
              <w:b w:val="0"/>
              <w:i/>
              <w:iCs/>
              <w:sz w:val="20"/>
              <w:szCs w:val="20"/>
              <w:lang w:val="en-US"/>
            </w:rPr>
            <w:t xml:space="preserve">Are members of ethnic groups, political prisoners or prisoners with a background in political or societal activity more prone </w:t>
          </w:r>
          <w:r w:rsidR="00921274">
            <w:rPr>
              <w:rStyle w:val="Otsikko3Char"/>
              <w:rFonts w:eastAsia="Calibri" w:cs="Calibri"/>
              <w:b w:val="0"/>
              <w:i/>
              <w:iCs/>
              <w:sz w:val="20"/>
              <w:szCs w:val="20"/>
              <w:lang w:val="en-US"/>
            </w:rPr>
            <w:t>to</w:t>
          </w:r>
          <w:r w:rsidR="00921274" w:rsidRPr="00921274">
            <w:rPr>
              <w:rStyle w:val="Otsikko3Char"/>
              <w:rFonts w:eastAsia="Calibri" w:cs="Calibri"/>
              <w:b w:val="0"/>
              <w:i/>
              <w:iCs/>
              <w:sz w:val="20"/>
              <w:szCs w:val="20"/>
              <w:lang w:val="en-US"/>
            </w:rPr>
            <w:t xml:space="preserve"> becoming victims of such treatment than other prisoners?</w:t>
          </w:r>
        </w:p>
      </w:sdtContent>
    </w:sdt>
    <w:p w14:paraId="1BA6E035" w14:textId="68CCD85D" w:rsidR="00082DFE" w:rsidRDefault="00192FA7" w:rsidP="00082DFE">
      <w:pPr>
        <w:pStyle w:val="LeiptekstiMigri"/>
        <w:ind w:left="0"/>
        <w:rPr>
          <w:b/>
        </w:rPr>
      </w:pPr>
      <w:r>
        <w:rPr>
          <w:b/>
        </w:rPr>
        <w:pict w14:anchorId="7349CC73">
          <v:rect id="_x0000_i1028" style="width:0;height:1.5pt" o:hralign="center" o:bullet="t" o:hrstd="t" o:hr="t" fillcolor="#a0a0a0" stroked="f"/>
        </w:pict>
      </w:r>
    </w:p>
    <w:p w14:paraId="15955B07" w14:textId="6ACA47EC" w:rsidR="008E42BF" w:rsidRDefault="008E42BF" w:rsidP="00082DFE">
      <w:pPr>
        <w:pStyle w:val="LeiptekstiMigri"/>
        <w:ind w:left="0"/>
        <w:rPr>
          <w:lang w:val="en-GB"/>
        </w:rPr>
      </w:pPr>
    </w:p>
    <w:p w14:paraId="6D361E98" w14:textId="77777777" w:rsidR="008E42BF" w:rsidRPr="00082DFE" w:rsidRDefault="008E42BF" w:rsidP="00082DFE">
      <w:pPr>
        <w:pStyle w:val="LeiptekstiMigri"/>
        <w:ind w:left="0"/>
        <w:rPr>
          <w:lang w:val="en-GB"/>
        </w:rPr>
      </w:pPr>
    </w:p>
    <w:p w14:paraId="5F993AD7" w14:textId="56A3E674" w:rsidR="009D3094" w:rsidRPr="009D3094" w:rsidRDefault="005121AE" w:rsidP="009D3094">
      <w:pPr>
        <w:pStyle w:val="Otsikko1"/>
      </w:pPr>
      <w:bookmarkStart w:id="3" w:name="_Hlk129259295"/>
      <w:r w:rsidRPr="005121AE">
        <w:lastRenderedPageBreak/>
        <w:t xml:space="preserve">Onko Turkissa </w:t>
      </w:r>
      <w:r w:rsidRPr="00174197">
        <w:t>mahdollisuutta</w:t>
      </w:r>
      <w:r w:rsidRPr="005121AE">
        <w:t xml:space="preserve"> oikeusapuun, oikeudenmukaiseen oikeudenkäyntiin ja valittamiseen rikosasioissa?</w:t>
      </w:r>
    </w:p>
    <w:p w14:paraId="0E34EB47" w14:textId="77777777" w:rsidR="005140AB" w:rsidRDefault="005140AB" w:rsidP="00386EDE">
      <w:pPr>
        <w:pStyle w:val="Luettelokappale"/>
        <w:numPr>
          <w:ilvl w:val="0"/>
          <w:numId w:val="34"/>
        </w:numPr>
        <w:jc w:val="left"/>
      </w:pPr>
      <w:r>
        <w:t>Mahdollisuus oikeusapuun</w:t>
      </w:r>
    </w:p>
    <w:p w14:paraId="1F32BB5E" w14:textId="77777777" w:rsidR="002C644F" w:rsidRDefault="00C448B6" w:rsidP="00386EDE">
      <w:pPr>
        <w:jc w:val="left"/>
      </w:pPr>
      <w:bookmarkStart w:id="4" w:name="_Hlk159415066"/>
      <w:r w:rsidRPr="00CD5607">
        <w:t>Turkin rikosmenettelylain</w:t>
      </w:r>
      <w:r w:rsidR="00D31D2C" w:rsidRPr="00CD5607">
        <w:t xml:space="preserve"> </w:t>
      </w:r>
      <w:r w:rsidR="00386B83" w:rsidRPr="00CD5607">
        <w:t>(</w:t>
      </w:r>
      <w:r w:rsidR="00D31D2C" w:rsidRPr="00CD5607">
        <w:t>5271</w:t>
      </w:r>
      <w:r w:rsidR="00386B83" w:rsidRPr="00CD5607">
        <w:t>/2004)</w:t>
      </w:r>
      <w:r w:rsidRPr="00CD5607">
        <w:t xml:space="preserve"> </w:t>
      </w:r>
      <w:r w:rsidR="00386EDE" w:rsidRPr="00CD5607">
        <w:t xml:space="preserve">149 </w:t>
      </w:r>
      <w:bookmarkEnd w:id="4"/>
      <w:r w:rsidR="00386EDE" w:rsidRPr="00CD5607">
        <w:t xml:space="preserve">artiklan </w:t>
      </w:r>
      <w:r w:rsidR="00852DD4" w:rsidRPr="00CD5607">
        <w:t xml:space="preserve">1 kohdan </w:t>
      </w:r>
      <w:r w:rsidR="00386EDE" w:rsidRPr="00CD5607">
        <w:t xml:space="preserve">mukaan epäillyllä tai syytetyllä on oikeus yhteen tai useampaan asianajajaan </w:t>
      </w:r>
      <w:r w:rsidR="00852DD4" w:rsidRPr="00CD5607">
        <w:t xml:space="preserve">rikosprosessin </w:t>
      </w:r>
      <w:r w:rsidR="0023576C" w:rsidRPr="00CD5607">
        <w:t xml:space="preserve">eri </w:t>
      </w:r>
      <w:r w:rsidR="00852DD4" w:rsidRPr="00CD5607">
        <w:t>vaihe</w:t>
      </w:r>
      <w:r w:rsidR="0023576C" w:rsidRPr="00CD5607">
        <w:t>i</w:t>
      </w:r>
      <w:r w:rsidR="00852DD4" w:rsidRPr="00CD5607">
        <w:t>ssa (</w:t>
      </w:r>
      <w:proofErr w:type="spellStart"/>
      <w:r w:rsidR="00852DD4" w:rsidRPr="00CD5607">
        <w:t>during</w:t>
      </w:r>
      <w:proofErr w:type="spellEnd"/>
      <w:r w:rsidR="00852DD4" w:rsidRPr="00CD5607">
        <w:t xml:space="preserve"> </w:t>
      </w:r>
      <w:proofErr w:type="spellStart"/>
      <w:r w:rsidR="00852DD4" w:rsidRPr="00CD5607">
        <w:t>the</w:t>
      </w:r>
      <w:proofErr w:type="spellEnd"/>
      <w:r w:rsidR="00852DD4" w:rsidRPr="00CD5607">
        <w:t xml:space="preserve"> </w:t>
      </w:r>
      <w:proofErr w:type="spellStart"/>
      <w:r w:rsidR="00852DD4" w:rsidRPr="00CD5607">
        <w:t>investigation</w:t>
      </w:r>
      <w:proofErr w:type="spellEnd"/>
      <w:r w:rsidR="00852DD4" w:rsidRPr="00CD5607">
        <w:t xml:space="preserve"> </w:t>
      </w:r>
      <w:proofErr w:type="spellStart"/>
      <w:r w:rsidR="00852DD4" w:rsidRPr="00CD5607">
        <w:t>or</w:t>
      </w:r>
      <w:proofErr w:type="spellEnd"/>
      <w:r w:rsidR="00852DD4" w:rsidRPr="00CD5607">
        <w:t xml:space="preserve"> </w:t>
      </w:r>
      <w:proofErr w:type="spellStart"/>
      <w:r w:rsidR="00852DD4" w:rsidRPr="00CD5607">
        <w:t>prosecution</w:t>
      </w:r>
      <w:proofErr w:type="spellEnd"/>
      <w:r w:rsidR="00852DD4" w:rsidRPr="00CD5607">
        <w:t xml:space="preserve">). </w:t>
      </w:r>
      <w:r w:rsidR="005A3BA5" w:rsidRPr="00CD5607">
        <w:t>Saman artiklan 2 kohdan mukaan esitutkinnan aikana voi olla läsnä korkeinta</w:t>
      </w:r>
      <w:r w:rsidR="00D31D2C" w:rsidRPr="00CD5607">
        <w:t>an</w:t>
      </w:r>
      <w:r w:rsidR="005A3BA5" w:rsidRPr="00CD5607">
        <w:t xml:space="preserve"> kolme asianajajaa. </w:t>
      </w:r>
      <w:r w:rsidR="00852DD4" w:rsidRPr="00CD5607">
        <w:t xml:space="preserve">Saman artiklan 3 kohdan mukaan </w:t>
      </w:r>
      <w:r w:rsidR="005A3BA5" w:rsidRPr="00CD5607">
        <w:t>asianajajalla on oikeus antaa epäillylle tai syytetylle oikeusapua rikosprosessin kaikissa vaiheissa.</w:t>
      </w:r>
      <w:r w:rsidR="00852DD4" w:rsidRPr="00CD5607">
        <w:t xml:space="preserve"> </w:t>
      </w:r>
      <w:r w:rsidR="004B0943" w:rsidRPr="00CD5607">
        <w:t>Rikosmenettelylain 150 artiklan mukaan epäiltyä tai syytettyä pyydetään valitsemaan</w:t>
      </w:r>
      <w:r w:rsidR="004B0943">
        <w:t xml:space="preserve"> itselleen oikeusavustaja, ja se voidaan myös nimittää hänelle, jos hän niin toivoo tai hän ei kykene itse päättämään puolustuksestaan.</w:t>
      </w:r>
      <w:r w:rsidR="004B0943">
        <w:rPr>
          <w:rStyle w:val="Alaviitteenviite"/>
        </w:rPr>
        <w:footnoteReference w:id="1"/>
      </w:r>
    </w:p>
    <w:p w14:paraId="784ABDF1" w14:textId="448D2E41" w:rsidR="00650DD6" w:rsidRDefault="00650DD6" w:rsidP="00386EDE">
      <w:pPr>
        <w:jc w:val="left"/>
      </w:pPr>
      <w:r>
        <w:t>Vuonna 2008 oikeusjut</w:t>
      </w:r>
      <w:r w:rsidR="002A4267">
        <w:t>ussa</w:t>
      </w:r>
      <w:r>
        <w:t xml:space="preserve"> </w:t>
      </w:r>
      <w:proofErr w:type="spellStart"/>
      <w:r w:rsidRPr="002D4104">
        <w:t>Salduz</w:t>
      </w:r>
      <w:proofErr w:type="spellEnd"/>
      <w:r w:rsidRPr="002D4104">
        <w:t xml:space="preserve"> </w:t>
      </w:r>
      <w:proofErr w:type="spellStart"/>
      <w:r w:rsidRPr="002D4104">
        <w:t>vs</w:t>
      </w:r>
      <w:proofErr w:type="spellEnd"/>
      <w:r w:rsidRPr="002D4104">
        <w:t xml:space="preserve"> </w:t>
      </w:r>
      <w:proofErr w:type="spellStart"/>
      <w:r w:rsidRPr="002D4104">
        <w:t>Turkey</w:t>
      </w:r>
      <w:proofErr w:type="spellEnd"/>
      <w:r w:rsidR="00204570">
        <w:t xml:space="preserve"> </w:t>
      </w:r>
      <w:r>
        <w:t>Euroopan</w:t>
      </w:r>
      <w:r w:rsidRPr="002D4104">
        <w:t xml:space="preserve"> ihmisoikeustuomioistuin totesi, että asianajajan palvelukset oli systemaattisesti estetty sellaisissa tapauksissa, jotka kuuluivat valtion turvallisuustuomioistuinten piiriin.</w:t>
      </w:r>
      <w:r w:rsidRPr="002D4104">
        <w:rPr>
          <w:rStyle w:val="Alaviitteenviite"/>
        </w:rPr>
        <w:footnoteReference w:id="2"/>
      </w:r>
      <w:r>
        <w:t xml:space="preserve"> </w:t>
      </w:r>
      <w:r w:rsidR="00CE20C6" w:rsidRPr="00CE20C6">
        <w:t>Turki</w:t>
      </w:r>
      <w:r w:rsidR="002A4267">
        <w:t>ssa vuonna</w:t>
      </w:r>
      <w:r w:rsidR="00CE20C6" w:rsidRPr="00CE20C6">
        <w:t xml:space="preserve"> 2016</w:t>
      </w:r>
      <w:r w:rsidR="002A4267">
        <w:t xml:space="preserve"> tapahtuneen</w:t>
      </w:r>
      <w:r w:rsidR="00CE20C6" w:rsidRPr="00CE20C6">
        <w:t xml:space="preserve"> epäonnistuneen vallankaappausyrityksen jälkeen tuli </w:t>
      </w:r>
      <w:r w:rsidR="00CE20C6">
        <w:t>28.7.</w:t>
      </w:r>
      <w:r w:rsidR="00CE20C6" w:rsidRPr="00CE20C6">
        <w:t>2016 voimaan poikkeustilalaki no. 667</w:t>
      </w:r>
      <w:r w:rsidR="00CE20C6">
        <w:t>, jonka perusteella julkinen syyttäjä voi estää kiinniotet</w:t>
      </w:r>
      <w:r w:rsidR="00CD5607">
        <w:t>tua olemasta yhteydessä a</w:t>
      </w:r>
      <w:r w:rsidR="00CE20C6">
        <w:t>sianajaja</w:t>
      </w:r>
      <w:r w:rsidR="00A25DD9">
        <w:t>a</w:t>
      </w:r>
      <w:r w:rsidR="00CE20C6">
        <w:t>n viiden päivän aja</w:t>
      </w:r>
      <w:r w:rsidR="00CD5607">
        <w:t>n</w:t>
      </w:r>
      <w:r w:rsidR="00CE20C6">
        <w:t xml:space="preserve">. 23.1.2017 voimaan tulleessa poikkeustilalaissa no. 684 </w:t>
      </w:r>
      <w:r w:rsidR="00A25DD9">
        <w:t>tämä lyhennettiin 24 tuntiin.</w:t>
      </w:r>
      <w:r w:rsidR="00A25DD9">
        <w:rPr>
          <w:rStyle w:val="Alaviitteenviite"/>
        </w:rPr>
        <w:footnoteReference w:id="3"/>
      </w:r>
      <w:r w:rsidR="00A25DD9">
        <w:t xml:space="preserve"> </w:t>
      </w:r>
    </w:p>
    <w:p w14:paraId="6665BA9D" w14:textId="11C428A5" w:rsidR="00650DD6" w:rsidRDefault="002A4267" w:rsidP="00650DD6">
      <w:pPr>
        <w:jc w:val="left"/>
      </w:pPr>
      <w:r>
        <w:t>E</w:t>
      </w:r>
      <w:r w:rsidR="00650DD6" w:rsidRPr="00A25DD9">
        <w:t xml:space="preserve">räässä oikeustapauksessa (2016/5120 M) istanbulilainen oikeusistuin (Istanbul </w:t>
      </w:r>
      <w:proofErr w:type="spellStart"/>
      <w:r w:rsidR="00650DD6" w:rsidRPr="00A25DD9">
        <w:t>Criminal</w:t>
      </w:r>
      <w:proofErr w:type="spellEnd"/>
      <w:r w:rsidR="00650DD6" w:rsidRPr="00A25DD9">
        <w:t xml:space="preserve"> Peace </w:t>
      </w:r>
      <w:proofErr w:type="spellStart"/>
      <w:r w:rsidR="00650DD6" w:rsidRPr="00A25DD9">
        <w:t>Judgeship</w:t>
      </w:r>
      <w:proofErr w:type="spellEnd"/>
      <w:r w:rsidR="00650DD6" w:rsidRPr="00A25DD9">
        <w:t xml:space="preserve"> No. 2) päätti poikkeustilalain 667 nojalla, että viiden terrorismista syytetyn henkilön asianajaja ei saanut enää toimia heidän asianajajanaan. Syyksi tähän kerrottiin, että syyttäjäntoimistossa oli tiettyjä tutkintakansioita, mutta epäselväksi jäi, koskivatko ne kyseistä asianajajaa.</w:t>
      </w:r>
      <w:r w:rsidR="00650DD6" w:rsidRPr="00A25DD9">
        <w:rPr>
          <w:rStyle w:val="Alaviitteenviite"/>
        </w:rPr>
        <w:footnoteReference w:id="4"/>
      </w:r>
      <w:r w:rsidR="00650DD6" w:rsidRPr="00A25DD9">
        <w:t xml:space="preserve">  </w:t>
      </w:r>
    </w:p>
    <w:p w14:paraId="67B500CF" w14:textId="77777777" w:rsidR="00535AB6" w:rsidRDefault="00535AB6" w:rsidP="00386EDE">
      <w:pPr>
        <w:jc w:val="left"/>
      </w:pPr>
      <w:r w:rsidRPr="00535AB6">
        <w:t>Yhdysvaltain ulkoministeriön Turkkia koskeva</w:t>
      </w:r>
      <w:r w:rsidR="00A25DD9">
        <w:t>n,</w:t>
      </w:r>
      <w:r w:rsidRPr="00535AB6">
        <w:t xml:space="preserve"> vuoden 2022 ihmisoikeusraporti</w:t>
      </w:r>
      <w:r>
        <w:t>n mukaan vankien ja pidätettyjen omaiset ovat kertoneet, että van</w:t>
      </w:r>
      <w:r w:rsidR="00A25DD9">
        <w:t>keja</w:t>
      </w:r>
      <w:r>
        <w:t xml:space="preserve"> ja pidätet</w:t>
      </w:r>
      <w:r w:rsidR="00A25DD9">
        <w:t xml:space="preserve">tyjä </w:t>
      </w:r>
      <w:r>
        <w:t>estet</w:t>
      </w:r>
      <w:r w:rsidR="00594CFC">
        <w:t>tiin</w:t>
      </w:r>
      <w:r>
        <w:t xml:space="preserve"> </w:t>
      </w:r>
      <w:r w:rsidR="00086482">
        <w:t>ajoittain</w:t>
      </w:r>
      <w:r w:rsidR="00BF7819">
        <w:t xml:space="preserve"> </w:t>
      </w:r>
      <w:r>
        <w:t>summittaise</w:t>
      </w:r>
      <w:r w:rsidR="00086482">
        <w:t>lla tavalla</w:t>
      </w:r>
      <w:r>
        <w:t xml:space="preserve"> </w:t>
      </w:r>
      <w:r w:rsidR="00A25DD9">
        <w:t xml:space="preserve">tapaamasta </w:t>
      </w:r>
      <w:r>
        <w:t>omais</w:t>
      </w:r>
      <w:r w:rsidR="00A25DD9">
        <w:t>iaan</w:t>
      </w:r>
      <w:r>
        <w:t xml:space="preserve"> tai asianajaj</w:t>
      </w:r>
      <w:r w:rsidR="00A25DD9">
        <w:t>ia</w:t>
      </w:r>
      <w:r>
        <w:t>.</w:t>
      </w:r>
      <w:r>
        <w:rPr>
          <w:rStyle w:val="Alaviitteenviite"/>
        </w:rPr>
        <w:footnoteReference w:id="5"/>
      </w:r>
      <w:r>
        <w:t xml:space="preserve"> </w:t>
      </w:r>
      <w:r w:rsidR="00A25DD9">
        <w:t xml:space="preserve">Raportissa ei kerrota, minkälaisista tapauksista </w:t>
      </w:r>
      <w:r w:rsidR="00086482">
        <w:t xml:space="preserve">on ollut </w:t>
      </w:r>
      <w:r w:rsidR="00A25DD9">
        <w:t xml:space="preserve">kyse. </w:t>
      </w:r>
    </w:p>
    <w:p w14:paraId="25ECF4FF" w14:textId="77777777" w:rsidR="00BF7819" w:rsidRDefault="00BF7819" w:rsidP="00BF7819">
      <w:pPr>
        <w:pStyle w:val="Luettelokappale"/>
        <w:numPr>
          <w:ilvl w:val="0"/>
          <w:numId w:val="34"/>
        </w:numPr>
        <w:jc w:val="left"/>
      </w:pPr>
      <w:r>
        <w:t>Mahdollisuus oikeudenmukaiseen oikeudenkäyntiin</w:t>
      </w:r>
    </w:p>
    <w:p w14:paraId="0E7F8E6A" w14:textId="4BF22E8E" w:rsidR="009C1BE4" w:rsidRDefault="009C1BE4" w:rsidP="00BF7819">
      <w:pPr>
        <w:jc w:val="left"/>
      </w:pPr>
      <w:r>
        <w:t xml:space="preserve">Tutkija Marcel </w:t>
      </w:r>
      <w:proofErr w:type="spellStart"/>
      <w:r>
        <w:t>Lemonden</w:t>
      </w:r>
      <w:proofErr w:type="spellEnd"/>
      <w:r>
        <w:t xml:space="preserve"> vuonna 201</w:t>
      </w:r>
      <w:r w:rsidR="00762A49">
        <w:t>4</w:t>
      </w:r>
      <w:r>
        <w:t xml:space="preserve"> </w:t>
      </w:r>
      <w:r w:rsidR="00762A49">
        <w:t xml:space="preserve">Euroopan neuvoston ja Turkin valtion tuella </w:t>
      </w:r>
      <w:r>
        <w:t>ilmestyneessä</w:t>
      </w:r>
      <w:r w:rsidR="00762A49">
        <w:t>,</w:t>
      </w:r>
      <w:r>
        <w:t xml:space="preserve"> Turkin rikosoikeu</w:t>
      </w:r>
      <w:r w:rsidR="00762A49">
        <w:t>tta käsittelevässä raportissa, jonka taustalla on turkkilaisiin oikeusistuimiin lokakuun 2012 ja helmikuun 2013 välillä tehdyt tiedonhankintamatkat,</w:t>
      </w:r>
      <w:r w:rsidR="006A0221">
        <w:t xml:space="preserve"> havaittiin </w:t>
      </w:r>
      <w:r w:rsidR="00C73B94">
        <w:t xml:space="preserve">muun muassa </w:t>
      </w:r>
      <w:r w:rsidR="000114D3">
        <w:t xml:space="preserve">seuraavia </w:t>
      </w:r>
      <w:r w:rsidR="006A0221">
        <w:t>puutteita oikeudenmukaisen oikeudenkäynnin toteutumisessa. T</w:t>
      </w:r>
      <w:r>
        <w:t xml:space="preserve">uomarit käsittelivät monia sellaisia tapauksia, joista ei olisi tullut nostaa syytettä lainkaan. Tuomarit </w:t>
      </w:r>
      <w:r w:rsidR="00046BCD">
        <w:t>toimivat syyttäjän roolissa</w:t>
      </w:r>
      <w:r>
        <w:t xml:space="preserve"> ja tutkivat keskeneräisesti valmisteltuja tapauksia. Oikeudenkäyntejä lykättiin aiheettomasti, ja tuomarit muotoilivat uudelleen oikeudessa kerrottuja asioita.</w:t>
      </w:r>
      <w:r>
        <w:rPr>
          <w:rStyle w:val="Alaviitteenviite"/>
        </w:rPr>
        <w:footnoteReference w:id="6"/>
      </w:r>
      <w:r w:rsidR="002F0687">
        <w:t xml:space="preserve"> </w:t>
      </w:r>
      <w:r w:rsidR="00046BCD">
        <w:t>Vähäise</w:t>
      </w:r>
      <w:r w:rsidR="006A0221">
        <w:t xml:space="preserve">mmistä asioista käydyistä oikeudenistunnoista sai usein hätiköidyn, </w:t>
      </w:r>
      <w:r w:rsidR="00046BCD">
        <w:t>mielivaltaisen</w:t>
      </w:r>
      <w:r w:rsidR="006A0221">
        <w:t xml:space="preserve"> ja kiistattoman</w:t>
      </w:r>
      <w:r w:rsidR="006A0221" w:rsidRPr="006A0221">
        <w:t xml:space="preserve"> </w:t>
      </w:r>
      <w:r w:rsidR="006A0221">
        <w:t>(</w:t>
      </w:r>
      <w:r w:rsidR="006A0221" w:rsidRPr="006A0221">
        <w:t>non-</w:t>
      </w:r>
      <w:proofErr w:type="spellStart"/>
      <w:r w:rsidR="006A0221" w:rsidRPr="006A0221">
        <w:t>adversarial</w:t>
      </w:r>
      <w:proofErr w:type="spellEnd"/>
      <w:r w:rsidR="006A0221">
        <w:t>) vaikutelman</w:t>
      </w:r>
      <w:r w:rsidR="006A0221" w:rsidRPr="006A0221">
        <w:t>.</w:t>
      </w:r>
      <w:r w:rsidR="006A0221">
        <w:rPr>
          <w:rStyle w:val="Alaviitteenviite"/>
        </w:rPr>
        <w:footnoteReference w:id="7"/>
      </w:r>
      <w:r w:rsidR="006A0221">
        <w:t xml:space="preserve"> Oikeudenkäyntien tarkkailijat havaitsivat, ettei syytettä luettu kokonaisuudessaan </w:t>
      </w:r>
      <w:r w:rsidR="00046BCD">
        <w:t xml:space="preserve">vastaajille </w:t>
      </w:r>
      <w:r w:rsidR="006A0221">
        <w:t xml:space="preserve">oikeudenkäynnin </w:t>
      </w:r>
      <w:r w:rsidR="006A0221">
        <w:lastRenderedPageBreak/>
        <w:t>alussa. Järjestäytynyttä rikollisuutta tai terrorismia koskevissa oikeusjutuissa käsiteltiin samanaikaisesti kymmenien tai jopa satojen henkilöiden tekoja.</w:t>
      </w:r>
      <w:r w:rsidR="006A0221">
        <w:rPr>
          <w:rStyle w:val="Alaviitteenviite"/>
        </w:rPr>
        <w:footnoteReference w:id="8"/>
      </w:r>
      <w:r w:rsidR="006A0221">
        <w:t xml:space="preserve"> </w:t>
      </w:r>
      <w:r w:rsidR="002F0687">
        <w:t>Oikeudenkäynn</w:t>
      </w:r>
      <w:r w:rsidR="00046BCD">
        <w:t>e</w:t>
      </w:r>
      <w:r w:rsidR="002F0687">
        <w:t>issä käytettiin myös salaisia todistajia.</w:t>
      </w:r>
      <w:r w:rsidR="002F0687">
        <w:rPr>
          <w:rStyle w:val="Alaviitteenviite"/>
        </w:rPr>
        <w:footnoteReference w:id="9"/>
      </w:r>
      <w:r w:rsidR="002F0687">
        <w:t xml:space="preserve"> </w:t>
      </w:r>
      <w:r w:rsidR="002453B9">
        <w:t xml:space="preserve">Rikosprosessin lähtökohta, </w:t>
      </w:r>
      <w:r w:rsidR="002F0687">
        <w:t>tasapuolisuus (</w:t>
      </w:r>
      <w:proofErr w:type="spellStart"/>
      <w:r w:rsidR="002453B9">
        <w:t>equality</w:t>
      </w:r>
      <w:proofErr w:type="spellEnd"/>
      <w:r w:rsidR="002453B9">
        <w:t xml:space="preserve"> of </w:t>
      </w:r>
      <w:proofErr w:type="spellStart"/>
      <w:r w:rsidR="002453B9">
        <w:t>arms</w:t>
      </w:r>
      <w:proofErr w:type="spellEnd"/>
      <w:r w:rsidR="002F0687">
        <w:t>)</w:t>
      </w:r>
      <w:r w:rsidR="002453B9">
        <w:t xml:space="preserve"> ei toteutunut </w:t>
      </w:r>
      <w:r w:rsidR="00046BCD">
        <w:t xml:space="preserve">tyydyttävästi </w:t>
      </w:r>
      <w:r w:rsidR="002453B9">
        <w:t>Turkissa.</w:t>
      </w:r>
      <w:r w:rsidR="002453B9">
        <w:rPr>
          <w:rStyle w:val="Alaviitteenviite"/>
        </w:rPr>
        <w:footnoteReference w:id="10"/>
      </w:r>
      <w:r w:rsidR="002453B9">
        <w:t xml:space="preserve"> </w:t>
      </w:r>
      <w:r w:rsidR="002F0687">
        <w:t xml:space="preserve"> </w:t>
      </w:r>
      <w:r w:rsidR="00046BCD">
        <w:t xml:space="preserve"> </w:t>
      </w:r>
    </w:p>
    <w:p w14:paraId="4E873FB0" w14:textId="07BFC389" w:rsidR="00BF7819" w:rsidRPr="0090630D" w:rsidRDefault="00BF7819" w:rsidP="00BF7819">
      <w:pPr>
        <w:jc w:val="left"/>
        <w:rPr>
          <w:vertAlign w:val="superscript"/>
        </w:rPr>
      </w:pPr>
      <w:bookmarkStart w:id="7" w:name="_Hlk160458064"/>
      <w:r>
        <w:t xml:space="preserve">Yhdysvaltain </w:t>
      </w:r>
      <w:r w:rsidRPr="00BF7819">
        <w:t>vuoden 2022 ihmisoikeusraporti</w:t>
      </w:r>
      <w:r>
        <w:t xml:space="preserve">n mukaan </w:t>
      </w:r>
      <w:bookmarkEnd w:id="7"/>
      <w:r>
        <w:t xml:space="preserve">Turkissa laki säätää itsenäisestä oikeuslaitoksesta, mutta oikeuslaitos on altis vaikuttamiselle, varsinkin toimeenpanovallan taholta. Toimeenpanovallalla on muun muassa merkittävää vaikutusvaltaa </w:t>
      </w:r>
      <w:r w:rsidR="009379B0">
        <w:t xml:space="preserve">tuomareita ja syyttäjiä </w:t>
      </w:r>
      <w:r w:rsidR="00046BCD">
        <w:t xml:space="preserve">eri puolelle maata </w:t>
      </w:r>
      <w:r w:rsidR="009379B0">
        <w:t>nimittävään ja heidän toimiaan arvioivaan tuomareiden ja syyttäjien lautakuntaan nähden</w:t>
      </w:r>
      <w:r w:rsidR="00423E94">
        <w:t>. Tuomarei</w:t>
      </w:r>
      <w:r w:rsidR="0090630D">
        <w:t xml:space="preserve">lle myönnetty laaja liikkumavara heikentää vaatimusta </w:t>
      </w:r>
      <w:r w:rsidR="009D7B23">
        <w:t xml:space="preserve">heidän </w:t>
      </w:r>
      <w:r w:rsidR="0090630D">
        <w:t>puolueettomana pysymisestä</w:t>
      </w:r>
      <w:r w:rsidR="009D7B23">
        <w:t>än</w:t>
      </w:r>
      <w:r w:rsidR="0090630D">
        <w:t>, ja heidän taipumuksensa asettaa valtion intressit etusijalle on johtanut lakien epäyhtenäiseen soveltamiseen.</w:t>
      </w:r>
      <w:r w:rsidR="009379B0">
        <w:rPr>
          <w:rStyle w:val="Alaviitteenviite"/>
        </w:rPr>
        <w:footnoteReference w:id="11"/>
      </w:r>
      <w:r w:rsidR="009379B0">
        <w:t xml:space="preserve"> </w:t>
      </w:r>
    </w:p>
    <w:p w14:paraId="35A33235" w14:textId="77777777" w:rsidR="005140AB" w:rsidRDefault="005140AB" w:rsidP="005140AB">
      <w:pPr>
        <w:pStyle w:val="Luettelokappale"/>
        <w:numPr>
          <w:ilvl w:val="0"/>
          <w:numId w:val="34"/>
        </w:numPr>
        <w:jc w:val="left"/>
      </w:pPr>
      <w:r>
        <w:t>Oikeus valittamiseen rikosasiassa</w:t>
      </w:r>
    </w:p>
    <w:p w14:paraId="50C9EAFA" w14:textId="77777777" w:rsidR="008D79FB" w:rsidRDefault="001413AD" w:rsidP="005140AB">
      <w:pPr>
        <w:jc w:val="left"/>
      </w:pPr>
      <w:r w:rsidRPr="001413AD">
        <w:t xml:space="preserve">Turkin rikosmenettelylain 272 artiklan </w:t>
      </w:r>
      <w:r w:rsidR="00655D1C">
        <w:t xml:space="preserve">1 kohdan </w:t>
      </w:r>
      <w:r w:rsidRPr="001413AD">
        <w:t xml:space="preserve">mukaisesti </w:t>
      </w:r>
      <w:r>
        <w:t xml:space="preserve">henkilöllä on oikeus valittaa ensimmäisen oikeusasteen päätöksestä. Yli 15 vuoden vankeusrangaistusta koskeva päätös menee </w:t>
      </w:r>
      <w:r w:rsidR="00386B83">
        <w:t xml:space="preserve">automaattisesti </w:t>
      </w:r>
      <w:r w:rsidR="00655D1C">
        <w:t>paikallisen valitus</w:t>
      </w:r>
      <w:r>
        <w:t xml:space="preserve">oikeuden tarkasteluun. </w:t>
      </w:r>
      <w:r w:rsidR="00655D1C">
        <w:t>Oikeudesta valittamisee</w:t>
      </w:r>
      <w:r w:rsidR="00386B83">
        <w:t>n</w:t>
      </w:r>
      <w:r w:rsidR="00655D1C">
        <w:t xml:space="preserve"> säädetään </w:t>
      </w:r>
      <w:r w:rsidR="002453B9">
        <w:t xml:space="preserve">rikosmenettelylaissa </w:t>
      </w:r>
      <w:r w:rsidR="00386B83">
        <w:t xml:space="preserve">varsinkin </w:t>
      </w:r>
      <w:r w:rsidR="00655D1C">
        <w:t>artikloissa 27</w:t>
      </w:r>
      <w:r w:rsidR="00386B83">
        <w:t>2</w:t>
      </w:r>
      <w:r w:rsidR="00EA65C2">
        <w:t>–2</w:t>
      </w:r>
      <w:r w:rsidR="00386B83">
        <w:t>89.</w:t>
      </w:r>
      <w:r w:rsidR="00655D1C">
        <w:t xml:space="preserve"> </w:t>
      </w:r>
      <w:r w:rsidR="00386B83">
        <w:t>291–301, 304, 306–307, 309–310.</w:t>
      </w:r>
      <w:r w:rsidR="00655D1C">
        <w:rPr>
          <w:rStyle w:val="Alaviitteenviite"/>
        </w:rPr>
        <w:footnoteReference w:id="12"/>
      </w:r>
      <w:r w:rsidR="00655D1C">
        <w:t xml:space="preserve"> </w:t>
      </w:r>
    </w:p>
    <w:p w14:paraId="6D485CD9" w14:textId="77777777" w:rsidR="001413AD" w:rsidRDefault="008D79FB" w:rsidP="005140AB">
      <w:pPr>
        <w:jc w:val="left"/>
      </w:pPr>
      <w:bookmarkStart w:id="8" w:name="_Hlk159420052"/>
      <w:r>
        <w:t xml:space="preserve">Yhdysvaltain </w:t>
      </w:r>
      <w:r w:rsidR="004621EA">
        <w:t xml:space="preserve">ulkoministeriön vuoden 2022 ihmisoikeusraportissa todetaan, </w:t>
      </w:r>
      <w:bookmarkEnd w:id="8"/>
      <w:r w:rsidR="004621EA">
        <w:t>että vastaajalla on oikeus valittaa oikeuden päätöksestä.</w:t>
      </w:r>
      <w:r w:rsidR="004621EA">
        <w:rPr>
          <w:rStyle w:val="Alaviitteenviite"/>
        </w:rPr>
        <w:footnoteReference w:id="13"/>
      </w:r>
      <w:r w:rsidR="004621EA">
        <w:t xml:space="preserve"> Turkissa </w:t>
      </w:r>
      <w:r w:rsidR="00046BCD">
        <w:t xml:space="preserve">vuoden </w:t>
      </w:r>
      <w:r w:rsidR="00535AB6">
        <w:t xml:space="preserve">2016 </w:t>
      </w:r>
      <w:r w:rsidR="00046BCD">
        <w:t>jälkeisinä vuosina vallinneen</w:t>
      </w:r>
      <w:r w:rsidR="00535AB6">
        <w:t xml:space="preserve"> </w:t>
      </w:r>
      <w:r w:rsidR="004621EA">
        <w:t>poikkeustilan ja oikeusjärjestelmään kohdistuneiden puhdistusten vuoksi oikeusjärjestelmän kapasiteetti on heikentynyt, joka on johtanut hitaisiin prosesseihin.</w:t>
      </w:r>
      <w:r w:rsidR="004621EA">
        <w:rPr>
          <w:rStyle w:val="Alaviitteenviite"/>
        </w:rPr>
        <w:footnoteReference w:id="14"/>
      </w:r>
      <w:r w:rsidR="004621EA">
        <w:t xml:space="preserve"> </w:t>
      </w:r>
      <w:r w:rsidR="00535AB6">
        <w:t>Valitusprosessi voi kestää vuosia.</w:t>
      </w:r>
      <w:r w:rsidR="00535AB6">
        <w:rPr>
          <w:rStyle w:val="Alaviitteenviite"/>
        </w:rPr>
        <w:footnoteReference w:id="15"/>
      </w:r>
      <w:r w:rsidR="00535AB6">
        <w:t xml:space="preserve"> </w:t>
      </w:r>
    </w:p>
    <w:p w14:paraId="0C1EDD7B" w14:textId="77777777" w:rsidR="000A60F6" w:rsidRPr="000E41BA" w:rsidRDefault="00174197" w:rsidP="000A60F6">
      <w:pPr>
        <w:pStyle w:val="Otsikko1"/>
        <w:rPr>
          <w:rStyle w:val="KysymyksetChar"/>
          <w:sz w:val="28"/>
        </w:rPr>
      </w:pPr>
      <w:r w:rsidRPr="000E41BA">
        <w:rPr>
          <w:rStyle w:val="KysymyksetChar"/>
          <w:sz w:val="28"/>
        </w:rPr>
        <w:t xml:space="preserve">Millaiset ovat Turkin vankilaolosuhteet? </w:t>
      </w:r>
    </w:p>
    <w:p w14:paraId="172379D9" w14:textId="77777777" w:rsidR="000A60F6" w:rsidRPr="000A60F6" w:rsidRDefault="000A60F6" w:rsidP="000A60F6">
      <w:pPr>
        <w:jc w:val="left"/>
      </w:pPr>
      <w:r w:rsidRPr="000A60F6">
        <w:t>Alla käsitellään keskeisi</w:t>
      </w:r>
      <w:r>
        <w:t>mpiä, viime vuosien kansainvälisestä raportoinnista ja uutisista ilmenneitä seikkoja Turkin vankiloissa</w:t>
      </w:r>
      <w:r w:rsidR="000E41BA">
        <w:t>, kohta kohdalta</w:t>
      </w:r>
      <w:r>
        <w:t>.</w:t>
      </w:r>
    </w:p>
    <w:p w14:paraId="47063C38" w14:textId="77777777" w:rsidR="00E214D4" w:rsidRPr="00796E05" w:rsidRDefault="00E214D4" w:rsidP="00E214D4">
      <w:pPr>
        <w:pStyle w:val="Luettelokappale"/>
        <w:numPr>
          <w:ilvl w:val="0"/>
          <w:numId w:val="34"/>
        </w:numPr>
        <w:jc w:val="left"/>
      </w:pPr>
      <w:r>
        <w:t>Vankil</w:t>
      </w:r>
      <w:r w:rsidR="000A60F6">
        <w:t>oiden</w:t>
      </w:r>
      <w:r>
        <w:t xml:space="preserve"> ylikuormit</w:t>
      </w:r>
      <w:r w:rsidR="000A60F6">
        <w:t>us</w:t>
      </w:r>
    </w:p>
    <w:p w14:paraId="554107A2" w14:textId="7DD0C7C6" w:rsidR="00CB7B28" w:rsidRDefault="00E81AA4" w:rsidP="00E81AA4">
      <w:pPr>
        <w:jc w:val="left"/>
      </w:pPr>
      <w:r w:rsidRPr="00E81AA4">
        <w:t xml:space="preserve">Euroopan neuvoston kidutuksen vastainen komitea </w:t>
      </w:r>
      <w:r>
        <w:t>(CPT</w:t>
      </w:r>
      <w:r>
        <w:rPr>
          <w:rStyle w:val="Alaviitteenviite"/>
        </w:rPr>
        <w:footnoteReference w:id="16"/>
      </w:r>
      <w:r>
        <w:t>) raportoi toukokuussa 2019 Turkkiin tekemänsä tiedonhankintamatkan perusteella, että Turkin vankilajärjestelmä o</w:t>
      </w:r>
      <w:r w:rsidR="00677540">
        <w:t>li</w:t>
      </w:r>
      <w:r>
        <w:t xml:space="preserve"> </w:t>
      </w:r>
      <w:r w:rsidR="0014670E">
        <w:t>kasva</w:t>
      </w:r>
      <w:r w:rsidR="00677540">
        <w:t>n</w:t>
      </w:r>
      <w:r>
        <w:t xml:space="preserve">ut, ja että Turkissa käytetään </w:t>
      </w:r>
      <w:r w:rsidR="00677540">
        <w:t>aikaisempaa</w:t>
      </w:r>
      <w:r>
        <w:t xml:space="preserve"> enemmän ehdonalaiseen vankeuteen vapautumista ja muita rangaistusmuotoja kuin vangitsemista. </w:t>
      </w:r>
      <w:r w:rsidRPr="00796E05">
        <w:t xml:space="preserve">Tästä huolimatta </w:t>
      </w:r>
      <w:r w:rsidR="00796E05" w:rsidRPr="00796E05">
        <w:t xml:space="preserve">vankiloiden ylikuormitus on akuutti ongelma, ja vankimäärä on </w:t>
      </w:r>
      <w:r w:rsidR="00796E05">
        <w:t>kasvanut tasaisesti 2000-luvun puolivälistä lähtien.</w:t>
      </w:r>
      <w:r w:rsidR="00E214D4">
        <w:rPr>
          <w:rStyle w:val="Alaviitteenviite"/>
        </w:rPr>
        <w:footnoteReference w:id="17"/>
      </w:r>
      <w:r w:rsidR="00796E05">
        <w:t xml:space="preserve"> Niissä vankiloissa, joissa CPT kävi, oli </w:t>
      </w:r>
      <w:r w:rsidR="00796E05" w:rsidRPr="00796E05">
        <w:t>Diyarbakirin nuorisovankilaa lukuun ottamatta k</w:t>
      </w:r>
      <w:r w:rsidR="00796E05">
        <w:t xml:space="preserve">apasiteetti merkittävästi ylittynyt käyntihetkellä. Tästä syystä suurella määrällä vankeja ei ollut omaa </w:t>
      </w:r>
      <w:r w:rsidR="00796E05">
        <w:lastRenderedPageBreak/>
        <w:t>sänkyä ja he joutuivat nukkumaan lattialla olevalla patjalla. Joi</w:t>
      </w:r>
      <w:r w:rsidR="00F17048">
        <w:t>ss</w:t>
      </w:r>
      <w:r w:rsidR="00796E05">
        <w:t>akin tapauksissa vangit joutuivat jakamaan patjan, koska lattialla ei ollut tilaa toiselle patjalle.</w:t>
      </w:r>
      <w:r w:rsidR="008202C1">
        <w:rPr>
          <w:rStyle w:val="Alaviitteenviite"/>
        </w:rPr>
        <w:footnoteReference w:id="18"/>
      </w:r>
      <w:r w:rsidR="00796E05">
        <w:t xml:space="preserve"> </w:t>
      </w:r>
    </w:p>
    <w:p w14:paraId="3ACEC325" w14:textId="64111178" w:rsidR="00677540" w:rsidRDefault="00796E05" w:rsidP="009F0E3A">
      <w:pPr>
        <w:jc w:val="left"/>
      </w:pPr>
      <w:proofErr w:type="spellStart"/>
      <w:r>
        <w:t>CPT:n</w:t>
      </w:r>
      <w:proofErr w:type="spellEnd"/>
      <w:r>
        <w:t xml:space="preserve"> mukaan uusien vankiloiden rakentaminen tuskin ratkaisee </w:t>
      </w:r>
      <w:r w:rsidR="00F17048">
        <w:t>liikakansoituksen</w:t>
      </w:r>
      <w:r>
        <w:t xml:space="preserve"> ongelmaa pysyvästi, vaan ongelman ratkaiseminen vaatii kokonaisstrategiaa, jossa otetaan huomioon vankilaan s</w:t>
      </w:r>
      <w:r w:rsidR="00C113F2">
        <w:t xml:space="preserve">aapuminen ja vankilasta vapautuminen, jotta voidaan taata, että vangitseminen, mukaan lukien tutkintavankeus, on todella viimeinen </w:t>
      </w:r>
      <w:r w:rsidR="00CB7B28">
        <w:t xml:space="preserve">käytettävissä oleva </w:t>
      </w:r>
      <w:r w:rsidR="00C113F2">
        <w:t>keino. CPT</w:t>
      </w:r>
      <w:r w:rsidR="00677540">
        <w:t xml:space="preserve"> </w:t>
      </w:r>
      <w:r w:rsidR="00C113F2">
        <w:t xml:space="preserve">kehotti </w:t>
      </w:r>
      <w:r w:rsidR="00677540">
        <w:t>”</w:t>
      </w:r>
      <w:r w:rsidR="00C113F2">
        <w:t>jälleen</w:t>
      </w:r>
      <w:r w:rsidR="00677540">
        <w:t>”</w:t>
      </w:r>
      <w:r w:rsidR="00C113F2">
        <w:t xml:space="preserve"> Turkin viranomaisia ryhtymään päättäväisiin toimiin vankimäärän kasvun kitkemiseksi ja poistamaan </w:t>
      </w:r>
      <w:r w:rsidR="00F17048">
        <w:t>liikakansoi</w:t>
      </w:r>
      <w:r w:rsidR="00C113F2">
        <w:t>tuksen.</w:t>
      </w:r>
      <w:r w:rsidR="00677540">
        <w:rPr>
          <w:rStyle w:val="Alaviitteenviite"/>
        </w:rPr>
        <w:footnoteReference w:id="19"/>
      </w:r>
      <w:r w:rsidR="00677540">
        <w:t xml:space="preserve"> </w:t>
      </w:r>
      <w:r w:rsidR="00C113F2">
        <w:t xml:space="preserve"> </w:t>
      </w:r>
    </w:p>
    <w:p w14:paraId="29212E7F" w14:textId="78053504" w:rsidR="000E0B2E" w:rsidRDefault="000A60F6" w:rsidP="009F0E3A">
      <w:pPr>
        <w:jc w:val="left"/>
      </w:pPr>
      <w:r>
        <w:t xml:space="preserve">Euroopan neuvoston mukaan tammikuussa </w:t>
      </w:r>
      <w:r w:rsidR="00E214D4" w:rsidRPr="00AA71F7">
        <w:t>2021 Turkissa oli 325 vankia/100 000 asukasta</w:t>
      </w:r>
      <w:r>
        <w:t>. Tämä oli</w:t>
      </w:r>
      <w:r w:rsidR="00E214D4" w:rsidRPr="00AA71F7">
        <w:t xml:space="preserve"> toiseksi eniten </w:t>
      </w:r>
      <w:r w:rsidRPr="00AA71F7">
        <w:t>4</w:t>
      </w:r>
      <w:r>
        <w:t xml:space="preserve">9:stä tietoja ilmoittaneesta </w:t>
      </w:r>
      <w:r w:rsidR="00E214D4" w:rsidRPr="00AA71F7">
        <w:t xml:space="preserve">Euroopan </w:t>
      </w:r>
      <w:r w:rsidR="00455BDE">
        <w:t>n</w:t>
      </w:r>
      <w:r w:rsidR="00E214D4" w:rsidRPr="00AA71F7">
        <w:t>euvoston jäsenmaasta</w:t>
      </w:r>
      <w:r>
        <w:t>. Kolme jäsenmaata ei ilmoittanut tietojaan</w:t>
      </w:r>
      <w:r w:rsidR="00E214D4" w:rsidRPr="00AA71F7">
        <w:t>.</w:t>
      </w:r>
      <w:r w:rsidR="00E214D4" w:rsidRPr="00AA71F7">
        <w:rPr>
          <w:rStyle w:val="Alaviitteenviite"/>
        </w:rPr>
        <w:footnoteReference w:id="20"/>
      </w:r>
      <w:r w:rsidR="00E214D4" w:rsidRPr="00AA71F7">
        <w:t xml:space="preserve"> </w:t>
      </w:r>
      <w:r>
        <w:t>V</w:t>
      </w:r>
      <w:r w:rsidR="00E214D4" w:rsidRPr="00AA71F7">
        <w:t>uonna 2022 maassa oli 396 vankilaa, joissa oli tilaa 286 797 vangille. Vankiluku oli kuitenkin 336 315.</w:t>
      </w:r>
      <w:r w:rsidR="00E214D4" w:rsidRPr="00AA71F7">
        <w:rPr>
          <w:rStyle w:val="Alaviitteenviite"/>
        </w:rPr>
        <w:footnoteReference w:id="21"/>
      </w:r>
      <w:r w:rsidR="00E214D4" w:rsidRPr="00AA71F7">
        <w:t xml:space="preserve"> </w:t>
      </w:r>
      <w:r w:rsidRPr="004756F5">
        <w:t xml:space="preserve">Yhdysvaltain ulkoministeriön vuotta 2022 </w:t>
      </w:r>
      <w:r w:rsidRPr="007401BC">
        <w:t xml:space="preserve">koskevan ihmisoikeusraportin mukaan Turkin vankilat täyttivät yleensä ottaen infrastruktuurin ja välineistönsä puolesta yleiset vaatimukset. Vankiloiden </w:t>
      </w:r>
      <w:r w:rsidR="00F17048">
        <w:t>liikakanso</w:t>
      </w:r>
      <w:r w:rsidRPr="007401BC">
        <w:t>itus oli edelleen merkittävä ongelma.</w:t>
      </w:r>
      <w:r w:rsidRPr="007401BC">
        <w:rPr>
          <w:rStyle w:val="Alaviitteenviite"/>
        </w:rPr>
        <w:footnoteReference w:id="22"/>
      </w:r>
      <w:r w:rsidRPr="007401BC">
        <w:t xml:space="preserve"> Turkin viranomaisten mukaan vankiloissa oli joulukuussa 202</w:t>
      </w:r>
      <w:r w:rsidR="007401BC" w:rsidRPr="007401BC">
        <w:t>2</w:t>
      </w:r>
      <w:r w:rsidRPr="007401BC">
        <w:t xml:space="preserve"> ylikapasiteettia 17,7 %. </w:t>
      </w:r>
      <w:r w:rsidR="00FD3C0B" w:rsidRPr="007401BC">
        <w:t xml:space="preserve">Turkin </w:t>
      </w:r>
      <w:r w:rsidRPr="007401BC">
        <w:t>399 vankilassa oli 341 294</w:t>
      </w:r>
      <w:r w:rsidR="00FD3C0B" w:rsidRPr="007401BC">
        <w:t xml:space="preserve"> vankia</w:t>
      </w:r>
      <w:r w:rsidRPr="007401BC">
        <w:t>.</w:t>
      </w:r>
      <w:r w:rsidRPr="007401BC">
        <w:rPr>
          <w:rStyle w:val="Alaviitteenviite"/>
        </w:rPr>
        <w:footnoteReference w:id="23"/>
      </w:r>
      <w:r w:rsidR="00606571">
        <w:t xml:space="preserve"> Turkkilaisen IHD</w:t>
      </w:r>
      <w:r w:rsidR="00606571" w:rsidRPr="006F4984">
        <w:t>-ihmisoikeusjärjestön</w:t>
      </w:r>
      <w:r w:rsidR="00606571" w:rsidRPr="006F4984">
        <w:rPr>
          <w:rStyle w:val="Alaviitteenviite"/>
        </w:rPr>
        <w:footnoteReference w:id="24"/>
      </w:r>
      <w:r w:rsidR="00606571">
        <w:t xml:space="preserve"> </w:t>
      </w:r>
      <w:r w:rsidR="00455BDE">
        <w:t xml:space="preserve">tilaston </w:t>
      </w:r>
      <w:r w:rsidR="00606571">
        <w:t xml:space="preserve">mukaan vankimäärä on kasvanut melko tasaisesti </w:t>
      </w:r>
      <w:r w:rsidR="00455BDE">
        <w:t xml:space="preserve">vuosien mittaan </w:t>
      </w:r>
      <w:r w:rsidR="00606571">
        <w:t>viimeisen vuosikymmenen aikana</w:t>
      </w:r>
      <w:r w:rsidR="00455BDE">
        <w:t>.</w:t>
      </w:r>
      <w:r w:rsidR="00606571">
        <w:t xml:space="preserve"> </w:t>
      </w:r>
      <w:r w:rsidR="00455BDE">
        <w:t>V</w:t>
      </w:r>
      <w:r w:rsidR="00606571">
        <w:t>uonna 2013 vankeja oli 144 098 ja vuonna 2022 vankiluku oli 336 315.</w:t>
      </w:r>
      <w:r w:rsidR="00606571">
        <w:rPr>
          <w:rStyle w:val="Alaviitteenviite"/>
        </w:rPr>
        <w:footnoteReference w:id="25"/>
      </w:r>
      <w:r w:rsidR="00606571">
        <w:t xml:space="preserve"> </w:t>
      </w:r>
    </w:p>
    <w:p w14:paraId="79017F9F" w14:textId="77777777" w:rsidR="00E214D4" w:rsidRDefault="00E214D4" w:rsidP="00E214D4">
      <w:pPr>
        <w:pStyle w:val="Luettelokappale"/>
        <w:numPr>
          <w:ilvl w:val="0"/>
          <w:numId w:val="34"/>
        </w:numPr>
        <w:jc w:val="left"/>
      </w:pPr>
      <w:r>
        <w:t>Terveydenhuolto</w:t>
      </w:r>
    </w:p>
    <w:p w14:paraId="4989ED86" w14:textId="77777777" w:rsidR="00F613AB" w:rsidRDefault="00C113F2" w:rsidP="009F0E3A">
      <w:pPr>
        <w:jc w:val="left"/>
      </w:pPr>
      <w:r w:rsidRPr="00C113F2">
        <w:t xml:space="preserve">CPT </w:t>
      </w:r>
      <w:r w:rsidR="00FA399C">
        <w:t xml:space="preserve">kertoi toukokuussa 2019, että vaikka se </w:t>
      </w:r>
      <w:r w:rsidRPr="00C113F2">
        <w:t>o</w:t>
      </w:r>
      <w:r w:rsidR="00FA399C">
        <w:t>li</w:t>
      </w:r>
      <w:r w:rsidRPr="00C113F2">
        <w:t xml:space="preserve"> tehnyt tarkkoja toimenpide-ehdotuksia aikaisempien käyntien</w:t>
      </w:r>
      <w:r w:rsidR="00027466">
        <w:t>s</w:t>
      </w:r>
      <w:r w:rsidR="00FA399C">
        <w:t>ä</w:t>
      </w:r>
      <w:r w:rsidRPr="00C113F2">
        <w:t xml:space="preserve"> jälkeen, </w:t>
      </w:r>
      <w:r>
        <w:t>tutkintavankien terveystarkastuksissa oli edelleen merkittäviä puutteita. Ei ollut epätavallista, ettei lääkäri tavannut uutta vankia kuin vasta merkittävän viiveen jälkeen, jos ollenkaan, eikä terveystarkastus yleensä sisältänyt potilaan fyysistä</w:t>
      </w:r>
      <w:r w:rsidR="009F0E3A">
        <w:t xml:space="preserve"> tutkimusta.</w:t>
      </w:r>
      <w:r w:rsidR="00677540">
        <w:t xml:space="preserve"> </w:t>
      </w:r>
      <w:r w:rsidR="009F0E3A" w:rsidRPr="006220A3">
        <w:t>CPT ei havainnut myöskään edistystä sellais</w:t>
      </w:r>
      <w:r w:rsidR="000E41BA">
        <w:t>issa</w:t>
      </w:r>
      <w:r w:rsidR="009F0E3A" w:rsidRPr="006220A3">
        <w:t xml:space="preserve"> jo aikaisemmin </w:t>
      </w:r>
      <w:r w:rsidR="000E41BA" w:rsidRPr="006220A3">
        <w:t xml:space="preserve">huolta </w:t>
      </w:r>
      <w:r w:rsidR="009F0E3A" w:rsidRPr="006220A3">
        <w:t xml:space="preserve">aiheuttaneissa asioissa kuin </w:t>
      </w:r>
      <w:r w:rsidR="00CB7B28" w:rsidRPr="006220A3">
        <w:t xml:space="preserve">jatkuva piittaamattomuus </w:t>
      </w:r>
      <w:r w:rsidR="009F0E3A" w:rsidRPr="006220A3">
        <w:t xml:space="preserve">potilaan </w:t>
      </w:r>
      <w:r w:rsidR="00CB7B28" w:rsidRPr="006220A3">
        <w:t>terveystietojen luottamuksellisuudesta, puutteellinen potilaan vammojen dokumentointi ja niistä raportointi, sekä terveydenhuollon henkilöstön määrä.</w:t>
      </w:r>
      <w:r w:rsidRPr="006220A3">
        <w:t xml:space="preserve"> </w:t>
      </w:r>
      <w:proofErr w:type="spellStart"/>
      <w:r w:rsidR="00CB7B28" w:rsidRPr="006220A3">
        <w:t>CPT:n</w:t>
      </w:r>
      <w:proofErr w:type="spellEnd"/>
      <w:r w:rsidR="00CB7B28" w:rsidRPr="006220A3">
        <w:t xml:space="preserve"> delegaatio havaitsi useassa vankilassa, että </w:t>
      </w:r>
      <w:r w:rsidR="006220A3" w:rsidRPr="006220A3">
        <w:t>opioidien käytön aiheuttamista vieroitusoireista kärsivät uudet vangit jäivät ilman hoitoa, eikä heille tarjottu esim</w:t>
      </w:r>
      <w:r w:rsidR="00677540">
        <w:t>erkiksi</w:t>
      </w:r>
      <w:r w:rsidR="006220A3" w:rsidRPr="006220A3">
        <w:t xml:space="preserve"> kipulääkettä tai muuta oireenmukaista hoitoa.</w:t>
      </w:r>
      <w:r w:rsidR="006220A3">
        <w:rPr>
          <w:rStyle w:val="Alaviitteenviite"/>
        </w:rPr>
        <w:footnoteReference w:id="26"/>
      </w:r>
      <w:r w:rsidR="006220A3">
        <w:t xml:space="preserve"> </w:t>
      </w:r>
      <w:r w:rsidR="006220A3" w:rsidRPr="006220A3">
        <w:t xml:space="preserve"> </w:t>
      </w:r>
    </w:p>
    <w:p w14:paraId="4B6A03C6" w14:textId="3CBBEE3F" w:rsidR="00E214D4" w:rsidRPr="00A930CB" w:rsidRDefault="00E214D4" w:rsidP="00E214D4">
      <w:pPr>
        <w:jc w:val="left"/>
      </w:pPr>
      <w:r w:rsidRPr="00A930CB">
        <w:t>Yhdysvaltain ulkoministeriön</w:t>
      </w:r>
      <w:r w:rsidR="00FD3C0B" w:rsidRPr="00FD3C0B">
        <w:t xml:space="preserve"> Turkin vuoden 2022 ihmisoikeustilannetta kuvaavassa</w:t>
      </w:r>
      <w:r w:rsidRPr="00A930CB">
        <w:t xml:space="preserve"> raportissa kerrotaan, että ihmisoikeusjärjestöjen ja </w:t>
      </w:r>
      <w:proofErr w:type="spellStart"/>
      <w:r w:rsidRPr="00A930CB">
        <w:t>CPT:n</w:t>
      </w:r>
      <w:proofErr w:type="spellEnd"/>
      <w:r w:rsidRPr="00A930CB">
        <w:t xml:space="preserve"> mukaan vangeilla oli usein puutetta juomavedestä, riittävästä lämmityksestä, tuuletuksesta, valaistuksesta, ruoasta ja terveydenhuollon palveluista. Ihmisoikeusjärjestöjen mukaan vankiloiden </w:t>
      </w:r>
      <w:r w:rsidR="00F17048">
        <w:t>liikakansoitus</w:t>
      </w:r>
      <w:r w:rsidRPr="00A930CB">
        <w:t xml:space="preserve"> lisäsi terveysriskejä. </w:t>
      </w:r>
      <w:r w:rsidR="000E41BA">
        <w:t>V</w:t>
      </w:r>
      <w:r w:rsidRPr="00A930CB">
        <w:t xml:space="preserve">ankilat eivät </w:t>
      </w:r>
      <w:r w:rsidR="000E41BA">
        <w:t xml:space="preserve">antaneet </w:t>
      </w:r>
      <w:r>
        <w:t>desinfiointiainetta, hanskoja tai maskeja vangeille, vaan myivät niitä</w:t>
      </w:r>
      <w:r w:rsidR="000E41BA">
        <w:t xml:space="preserve"> heille</w:t>
      </w:r>
      <w:r>
        <w:t xml:space="preserve">. Niillä vangeilla, </w:t>
      </w:r>
      <w:r w:rsidR="00FA399C">
        <w:t>jotka eivät pystyneet maksamaan kyseisiä tarpeita</w:t>
      </w:r>
      <w:r>
        <w:t xml:space="preserve">, ei </w:t>
      </w:r>
      <w:r w:rsidRPr="006F4984">
        <w:lastRenderedPageBreak/>
        <w:t xml:space="preserve">ollut </w:t>
      </w:r>
      <w:r w:rsidR="00FA399C" w:rsidRPr="006F4984">
        <w:t xml:space="preserve">niitä </w:t>
      </w:r>
      <w:r w:rsidRPr="006F4984">
        <w:t xml:space="preserve">riittävästi. Media and </w:t>
      </w:r>
      <w:proofErr w:type="spellStart"/>
      <w:r w:rsidRPr="006F4984">
        <w:t>Law</w:t>
      </w:r>
      <w:proofErr w:type="spellEnd"/>
      <w:r w:rsidRPr="006F4984">
        <w:t xml:space="preserve"> </w:t>
      </w:r>
      <w:proofErr w:type="spellStart"/>
      <w:r w:rsidRPr="006F4984">
        <w:t>Studies</w:t>
      </w:r>
      <w:proofErr w:type="spellEnd"/>
      <w:r w:rsidRPr="006F4984">
        <w:t xml:space="preserve"> Association -kansalaisjärjestön</w:t>
      </w:r>
      <w:r w:rsidR="00FA399C" w:rsidRPr="006F4984">
        <w:rPr>
          <w:rStyle w:val="Alaviitteenviite"/>
        </w:rPr>
        <w:footnoteReference w:id="27"/>
      </w:r>
      <w:r w:rsidRPr="006F4984">
        <w:t xml:space="preserve"> maaliskuussa 2022 tekemän tutkimuksen mukaan 56 %</w:t>
      </w:r>
      <w:r w:rsidR="000E41BA" w:rsidRPr="006F4984">
        <w:t>:lla</w:t>
      </w:r>
      <w:r w:rsidRPr="006F4984">
        <w:t xml:space="preserve"> vangeista ei ollut riittävästi hygieniatarvikkeita.</w:t>
      </w:r>
      <w:r w:rsidRPr="006F4984">
        <w:rPr>
          <w:rStyle w:val="Alaviitteenviite"/>
        </w:rPr>
        <w:footnoteReference w:id="28"/>
      </w:r>
      <w:r>
        <w:t xml:space="preserve"> </w:t>
      </w:r>
    </w:p>
    <w:p w14:paraId="3D1F9174" w14:textId="07E53DE6" w:rsidR="006F4984" w:rsidRDefault="00E214D4" w:rsidP="00043D7E">
      <w:pPr>
        <w:jc w:val="left"/>
      </w:pPr>
      <w:r w:rsidRPr="00263F87">
        <w:t>Turkin oikeusministeriön tilastojen mukaan syyskuussa 2022 Turkin vankiloissa oli yhdeksän lääkäriä, 195 hammaslääkäriä, 129 hoitajaa, 895 psykologia ja 457 muuta terveydenhuollossa toiminutta henkilöä.</w:t>
      </w:r>
      <w:r>
        <w:t xml:space="preserve"> </w:t>
      </w:r>
      <w:r w:rsidRPr="00263F87">
        <w:t>Ihmisoikeusjärjestöt esittivät vakavan huolensa vangeille järjestetyn terveydenhuollon puutteista, varsinkin l</w:t>
      </w:r>
      <w:r>
        <w:t xml:space="preserve">ääkärien liian pienestä määrästä. </w:t>
      </w:r>
      <w:r w:rsidRPr="00263F87">
        <w:t xml:space="preserve">Kansalaisjärjestöjen mukaan vankien siirrosta </w:t>
      </w:r>
      <w:r w:rsidRPr="006F4984">
        <w:t>saira</w:t>
      </w:r>
      <w:r w:rsidR="000E41BA" w:rsidRPr="006F4984">
        <w:t>alahoitoon</w:t>
      </w:r>
      <w:r w:rsidRPr="006F4984">
        <w:t xml:space="preserve"> päättivät pikemminkin vanginvartijat kuin terveydenhuollon työntekijät. </w:t>
      </w:r>
      <w:r w:rsidR="00606571">
        <w:t>IHD</w:t>
      </w:r>
      <w:r w:rsidRPr="006F4984">
        <w:t>-ihmisoikeusjärjestön</w:t>
      </w:r>
      <w:r w:rsidR="00606571">
        <w:t xml:space="preserve"> </w:t>
      </w:r>
      <w:r w:rsidRPr="006F4984">
        <w:t>mukaan joulukuussa 2022 eri puolilla Turkkia oli 1 517 sairasta vankia, joista 651 oli vakavasti</w:t>
      </w:r>
      <w:r>
        <w:t xml:space="preserve"> sairaana.</w:t>
      </w:r>
      <w:r w:rsidRPr="00263F87">
        <w:rPr>
          <w:rStyle w:val="Alaviitteenviite"/>
        </w:rPr>
        <w:t xml:space="preserve"> </w:t>
      </w:r>
      <w:r w:rsidRPr="00263F87">
        <w:t>Pääsyyttäjät voivat, varsinkin terrorisminvastaiseen lakiin vedoten, pitää vaarallisina pitämiään v</w:t>
      </w:r>
      <w:r>
        <w:t>ankeja tutkintavankeudessa, riippumatta vakavasta sairaudesta kertovasta lääkärintodistuksesta.</w:t>
      </w:r>
      <w:r>
        <w:rPr>
          <w:rStyle w:val="Alaviitteenviite"/>
        </w:rPr>
        <w:footnoteReference w:id="29"/>
      </w:r>
      <w:r>
        <w:t xml:space="preserve">  </w:t>
      </w:r>
    </w:p>
    <w:p w14:paraId="008453D0" w14:textId="16804352" w:rsidR="00B10323" w:rsidRDefault="00B10323" w:rsidP="00043D7E">
      <w:pPr>
        <w:jc w:val="left"/>
      </w:pPr>
      <w:r>
        <w:t xml:space="preserve">Turkin ihmisoikeussäätiön </w:t>
      </w:r>
      <w:r w:rsidRPr="006B48F4">
        <w:t>(TIHV</w:t>
      </w:r>
      <w:r w:rsidRPr="006B48F4">
        <w:rPr>
          <w:vertAlign w:val="superscript"/>
        </w:rPr>
        <w:footnoteReference w:id="30"/>
      </w:r>
      <w:r w:rsidRPr="006B48F4">
        <w:t xml:space="preserve">) </w:t>
      </w:r>
      <w:r>
        <w:t>vuonna 2022 ilmestyneen raportin mukaan vankien ongelmia olivat muun muassa rajoitukset terveydenhuoltoon pääsemisessä ja se, ettei heidän terveysongelmiaan ratkaistu ajoissa ja tehokkaasti, ja että he eivät saaneet laadukkaita lääkärintodistuksia. Sairaiden vankien siirrot vankilasta toiseen heikensivät heidän oikeuttaan saada terveydenhuoltoa.</w:t>
      </w:r>
      <w:r>
        <w:rPr>
          <w:rStyle w:val="Alaviitteenviite"/>
        </w:rPr>
        <w:footnoteReference w:id="31"/>
      </w:r>
      <w:r>
        <w:t xml:space="preserve">     </w:t>
      </w:r>
    </w:p>
    <w:p w14:paraId="7F1BF6C3" w14:textId="77777777" w:rsidR="00E214D4" w:rsidRDefault="00E214D4" w:rsidP="00E214D4">
      <w:pPr>
        <w:pStyle w:val="Luettelokappale"/>
        <w:numPr>
          <w:ilvl w:val="0"/>
          <w:numId w:val="34"/>
        </w:numPr>
        <w:jc w:val="left"/>
      </w:pPr>
      <w:r>
        <w:t>Alaikäiset vangit</w:t>
      </w:r>
    </w:p>
    <w:p w14:paraId="6ED69F0F" w14:textId="33E271F6" w:rsidR="00BD1630" w:rsidRPr="00E34159" w:rsidRDefault="00395DAB" w:rsidP="00043D7E">
      <w:pPr>
        <w:jc w:val="left"/>
      </w:pPr>
      <w:r w:rsidRPr="00254C6F">
        <w:t xml:space="preserve">Euroopan ihmisoikeustuomioistuin painotti </w:t>
      </w:r>
      <w:r w:rsidR="00077010" w:rsidRPr="00254C6F">
        <w:t>vuonna 201</w:t>
      </w:r>
      <w:r w:rsidR="00A265B8">
        <w:t>3</w:t>
      </w:r>
      <w:r w:rsidR="00077010" w:rsidRPr="00254C6F">
        <w:t xml:space="preserve"> tekemässään päätöksessä (</w:t>
      </w:r>
      <w:r w:rsidRPr="00254C6F">
        <w:t>tapau</w:t>
      </w:r>
      <w:r w:rsidR="00077010" w:rsidRPr="00254C6F">
        <w:t>s</w:t>
      </w:r>
      <w:r w:rsidRPr="00254C6F">
        <w:t xml:space="preserve"> no. 1413/07, </w:t>
      </w:r>
      <w:proofErr w:type="spellStart"/>
      <w:r w:rsidRPr="00254C6F">
        <w:t>Coselav</w:t>
      </w:r>
      <w:proofErr w:type="spellEnd"/>
      <w:r w:rsidRPr="00254C6F">
        <w:t xml:space="preserve"> </w:t>
      </w:r>
      <w:proofErr w:type="spellStart"/>
      <w:r w:rsidRPr="00254C6F">
        <w:t>vs</w:t>
      </w:r>
      <w:proofErr w:type="spellEnd"/>
      <w:r w:rsidRPr="00254C6F">
        <w:t xml:space="preserve"> Turkki</w:t>
      </w:r>
      <w:r w:rsidR="00077010" w:rsidRPr="00254C6F">
        <w:rPr>
          <w:rStyle w:val="Alaviitteenviite"/>
        </w:rPr>
        <w:footnoteReference w:id="32"/>
      </w:r>
      <w:r w:rsidR="00077010" w:rsidRPr="00254C6F">
        <w:t>),</w:t>
      </w:r>
      <w:r w:rsidRPr="00254C6F">
        <w:t xml:space="preserve"> </w:t>
      </w:r>
      <w:r w:rsidR="00077010" w:rsidRPr="00254C6F">
        <w:t xml:space="preserve">aikuisten vankilassa olemisen negatiivista psykologista </w:t>
      </w:r>
      <w:r w:rsidR="00254C6F" w:rsidRPr="00254C6F">
        <w:t xml:space="preserve">vaikutusta </w:t>
      </w:r>
      <w:r w:rsidR="00077010" w:rsidRPr="00254C6F">
        <w:t xml:space="preserve">alaikäiselle henkilölle. Tässä </w:t>
      </w:r>
      <w:r w:rsidR="00254C6F" w:rsidRPr="00254C6F">
        <w:t xml:space="preserve">tapauksessa </w:t>
      </w:r>
      <w:r w:rsidR="00077010" w:rsidRPr="00254C6F">
        <w:t xml:space="preserve">oli kyse henkilöstä, joka oli tehnyt itsemurhan. </w:t>
      </w:r>
      <w:r w:rsidR="006A02F6">
        <w:t>Päätöksestä huolimatta</w:t>
      </w:r>
      <w:r w:rsidR="00077010" w:rsidRPr="00254C6F">
        <w:t xml:space="preserve"> </w:t>
      </w:r>
      <w:r w:rsidRPr="00254C6F">
        <w:t>l</w:t>
      </w:r>
      <w:r w:rsidR="008F4027" w:rsidRPr="00254C6F">
        <w:t>okakuussa 2018</w:t>
      </w:r>
      <w:r w:rsidRPr="00254C6F">
        <w:t xml:space="preserve"> </w:t>
      </w:r>
      <w:r w:rsidR="006A02F6">
        <w:t xml:space="preserve">Turkissa </w:t>
      </w:r>
      <w:r w:rsidRPr="00254C6F">
        <w:t xml:space="preserve">oli </w:t>
      </w:r>
      <w:r w:rsidR="00254C6F">
        <w:t>vankien oikeuksia ja vapauksia puolustavan CISST-</w:t>
      </w:r>
      <w:r w:rsidR="00254C6F" w:rsidRPr="00BD1630">
        <w:t>kansalaisjärjestön</w:t>
      </w:r>
      <w:r w:rsidR="00254C6F">
        <w:rPr>
          <w:rStyle w:val="Alaviitteenviite"/>
        </w:rPr>
        <w:footnoteReference w:id="33"/>
      </w:r>
      <w:r w:rsidR="00254C6F">
        <w:t xml:space="preserve"> </w:t>
      </w:r>
      <w:r w:rsidRPr="00254C6F">
        <w:t>mukaan</w:t>
      </w:r>
      <w:r w:rsidR="00FD3C0B">
        <w:t xml:space="preserve"> </w:t>
      </w:r>
      <w:r w:rsidRPr="00254C6F">
        <w:t>1 265 alaikäistä vankia</w:t>
      </w:r>
      <w:r w:rsidR="00FD3C0B">
        <w:t xml:space="preserve"> </w:t>
      </w:r>
      <w:r w:rsidRPr="00254C6F">
        <w:t xml:space="preserve">heille tarkoitetuissa </w:t>
      </w:r>
      <w:r w:rsidRPr="00E34159">
        <w:t>laitoksissa ja 1 754 alaikäistä vankia aikuisille tarkoitetuissa vankiloissa.</w:t>
      </w:r>
      <w:r w:rsidRPr="00E34159">
        <w:rPr>
          <w:rStyle w:val="Alaviitteenviite"/>
        </w:rPr>
        <w:footnoteReference w:id="34"/>
      </w:r>
      <w:r w:rsidRPr="00E34159">
        <w:t xml:space="preserve"> </w:t>
      </w:r>
    </w:p>
    <w:p w14:paraId="3AA0E4FB" w14:textId="1E45D6B7" w:rsidR="00077010" w:rsidRDefault="00077010" w:rsidP="00077010">
      <w:pPr>
        <w:jc w:val="left"/>
      </w:pPr>
      <w:r w:rsidRPr="00E34159">
        <w:t>Yhdysvaltain ulkoministeriön vuotta 2022 koskevan ihmisoikeusraportin mukaan, sikäli kuin alaikäisille ei ollut omaa vankilaa tarjolla, alaikäisiä pidettiin miesten ja naisten vankiloissa omilla osastoillaan. Alle kuusivuotiaiden lasten annettiin olla vangittujen äitiensä seurassa. Tutkintavankeja pidettiin samoi</w:t>
      </w:r>
      <w:r w:rsidR="006A02F6">
        <w:t>ss</w:t>
      </w:r>
      <w:r w:rsidRPr="00E34159">
        <w:t>a laitoksissa tuomittujen vankien kanssa.</w:t>
      </w:r>
      <w:r w:rsidRPr="00E34159">
        <w:rPr>
          <w:rStyle w:val="Alaviitteenviite"/>
          <w:lang w:val="en-US"/>
        </w:rPr>
        <w:footnoteReference w:id="35"/>
      </w:r>
      <w:r w:rsidRPr="00BD1630">
        <w:t xml:space="preserve"> </w:t>
      </w:r>
    </w:p>
    <w:p w14:paraId="497D45A1" w14:textId="77777777" w:rsidR="00E214D4" w:rsidRDefault="00E214D4" w:rsidP="009F0E3A">
      <w:pPr>
        <w:pStyle w:val="Luettelokappale"/>
        <w:numPr>
          <w:ilvl w:val="0"/>
          <w:numId w:val="34"/>
        </w:numPr>
        <w:jc w:val="left"/>
      </w:pPr>
      <w:r>
        <w:t>Kidutus, pahoinpitely</w:t>
      </w:r>
      <w:r w:rsidR="00C3786A">
        <w:t>, vankikuolemat</w:t>
      </w:r>
    </w:p>
    <w:p w14:paraId="65E50029" w14:textId="64800DE4" w:rsidR="00E34159" w:rsidRPr="007401BC" w:rsidRDefault="00FA399C" w:rsidP="009F0E3A">
      <w:pPr>
        <w:jc w:val="left"/>
      </w:pPr>
      <w:r w:rsidRPr="004756F5">
        <w:t xml:space="preserve">Yhdysvaltain ulkoministeriön vuotta 2022 koskevan ihmisoikeusraportin mukaan </w:t>
      </w:r>
      <w:r>
        <w:t xml:space="preserve">Turkin perustuslaissa ja muussa lainsäädännössä kielletään kidutus ja muu julma, epäinhimillinen tai halventava kohtelu. </w:t>
      </w:r>
      <w:r w:rsidRPr="004756F5">
        <w:t>Kotimaiset ja ulkomaiset ihmisoikeusjärjestöt kertoivat kuitenkin</w:t>
      </w:r>
      <w:r>
        <w:t>,</w:t>
      </w:r>
      <w:r w:rsidRPr="004756F5">
        <w:t xml:space="preserve"> että jotkut poliisit, v</w:t>
      </w:r>
      <w:r>
        <w:t>ankilaviranomaiset sekä armeija</w:t>
      </w:r>
      <w:r w:rsidR="00E34159">
        <w:t>-</w:t>
      </w:r>
      <w:r>
        <w:t xml:space="preserve"> ja tiedustelupalveluyksiköt harjoittivat tällaisia käytäntöjä.</w:t>
      </w:r>
      <w:r>
        <w:rPr>
          <w:rStyle w:val="Alaviitteenviite"/>
        </w:rPr>
        <w:footnoteReference w:id="36"/>
      </w:r>
      <w:r>
        <w:t xml:space="preserve"> </w:t>
      </w:r>
      <w:r w:rsidR="0048544A" w:rsidRPr="0048544A">
        <w:t xml:space="preserve">Turkin vankilaviranomaiset tutkivat ajoittain uskottavia väitteitä pahoinpitelystä </w:t>
      </w:r>
      <w:r w:rsidR="00E34159">
        <w:lastRenderedPageBreak/>
        <w:t>ja</w:t>
      </w:r>
      <w:r w:rsidR="0048544A" w:rsidRPr="0048544A">
        <w:t xml:space="preserve"> epäinhimillisistä tai halventavista olosuhteista, mutta eivät </w:t>
      </w:r>
      <w:r w:rsidR="00A86496">
        <w:t xml:space="preserve">ole </w:t>
      </w:r>
      <w:r w:rsidR="0048544A" w:rsidRPr="0048544A">
        <w:t xml:space="preserve">yleensä julkistaneet tutkimustensa tuloksia tai kertoneet mihin toimenpiteisiin mahdollisesti </w:t>
      </w:r>
      <w:r w:rsidR="00A86496">
        <w:t>on r</w:t>
      </w:r>
      <w:r w:rsidR="0048544A" w:rsidRPr="0048544A">
        <w:t>yhdytt</w:t>
      </w:r>
      <w:r w:rsidR="00A86496">
        <w:t>y</w:t>
      </w:r>
      <w:r w:rsidR="0048544A" w:rsidRPr="0048544A">
        <w:t xml:space="preserve">, </w:t>
      </w:r>
      <w:r w:rsidR="00FD3C0B" w:rsidRPr="00FD3C0B">
        <w:t xml:space="preserve">eivätkä ole </w:t>
      </w:r>
      <w:r w:rsidR="00FD3C0B" w:rsidRPr="007401BC">
        <w:t>kertoneet, ovatko tekijät joutuneet vastuuseen</w:t>
      </w:r>
      <w:r w:rsidR="00FD3C0B" w:rsidRPr="007401BC">
        <w:rPr>
          <w:rStyle w:val="Kommentinviite"/>
        </w:rPr>
        <w:t>.</w:t>
      </w:r>
      <w:r w:rsidR="0048544A" w:rsidRPr="007401BC">
        <w:rPr>
          <w:rStyle w:val="Alaviitteenviite"/>
        </w:rPr>
        <w:footnoteReference w:id="37"/>
      </w:r>
      <w:r w:rsidR="0048544A" w:rsidRPr="007401BC">
        <w:t xml:space="preserve"> </w:t>
      </w:r>
    </w:p>
    <w:p w14:paraId="1D441A76" w14:textId="7EACBE8C" w:rsidR="009B45AC" w:rsidRDefault="007401BC" w:rsidP="009F0E3A">
      <w:pPr>
        <w:jc w:val="left"/>
      </w:pPr>
      <w:r w:rsidRPr="007401BC">
        <w:t>Ruotsissa asuvien toimittajien perustaman</w:t>
      </w:r>
      <w:r w:rsidR="009B45AC" w:rsidRPr="007401BC">
        <w:t xml:space="preserve"> </w:t>
      </w:r>
      <w:r w:rsidR="00E34159" w:rsidRPr="007401BC">
        <w:t xml:space="preserve">Stockholm Center for </w:t>
      </w:r>
      <w:proofErr w:type="spellStart"/>
      <w:r w:rsidR="00E34159" w:rsidRPr="007401BC">
        <w:t>Freedom</w:t>
      </w:r>
      <w:proofErr w:type="spellEnd"/>
      <w:r w:rsidR="00E34159" w:rsidRPr="007401BC">
        <w:t xml:space="preserve"> (SCF)</w:t>
      </w:r>
      <w:r w:rsidR="009B45AC" w:rsidRPr="007401BC">
        <w:t xml:space="preserve"> -järjestön mukaan Turkissa on ollut huomattava nousu kidutuksen ja pahoinpitelyn käytössä vuoden 2016</w:t>
      </w:r>
      <w:r w:rsidR="00E34159" w:rsidRPr="007401BC">
        <w:t xml:space="preserve"> </w:t>
      </w:r>
      <w:r w:rsidR="009B45AC" w:rsidRPr="007401BC">
        <w:t xml:space="preserve">vallankaappausyrityksen jälkeen. Turvallisuusjoukot ovat toimineet laajasti rankaisemattomuuden ilmapiirissä, kun korkeamman tason virkamiehet eivät ole tuominneet tällaisia tekoja, ja ovat olleet </w:t>
      </w:r>
      <w:proofErr w:type="spellStart"/>
      <w:r w:rsidR="004A7209">
        <w:t>SCF:n</w:t>
      </w:r>
      <w:proofErr w:type="spellEnd"/>
      <w:r w:rsidR="004A7209">
        <w:t xml:space="preserve"> mukaan </w:t>
      </w:r>
      <w:r w:rsidR="009B45AC" w:rsidRPr="007401BC">
        <w:t>valmiita peittelemään niitä tutkimisen sijaan.</w:t>
      </w:r>
      <w:r w:rsidR="009B45AC" w:rsidRPr="007401BC">
        <w:rPr>
          <w:rStyle w:val="Alaviitteenviite"/>
        </w:rPr>
        <w:footnoteReference w:id="38"/>
      </w:r>
      <w:r w:rsidR="009B45AC">
        <w:t xml:space="preserve"> </w:t>
      </w:r>
    </w:p>
    <w:p w14:paraId="36DF4E5F" w14:textId="1AC9E006" w:rsidR="006B48F4" w:rsidRPr="006B48F4" w:rsidRDefault="006B48F4" w:rsidP="006B48F4">
      <w:pPr>
        <w:jc w:val="left"/>
      </w:pPr>
      <w:r w:rsidRPr="006B48F4">
        <w:t>Turkin ihmisoikeussäätiön Turkissa vuonna 2022 tapahtuneita oikeudenloukkauksia käsittelevän vuosiraportin mukaan kidutus ja muu pahoinpitely lisääntyivät Turkin vankiloissa erityisesti sen jälkeen, kun kurdien aseman käsittelyssä siirryttiin rauhanomaisten keinojen sijaan konfliktiolosuhteisiin heinäkuussa 2015, ja heinäkuussa 2016 tapahtunut vallankaappausyritys nujerrettiin ja poikkeustila julistettiin.</w:t>
      </w:r>
      <w:r w:rsidRPr="006B48F4">
        <w:rPr>
          <w:vertAlign w:val="superscript"/>
        </w:rPr>
        <w:footnoteReference w:id="39"/>
      </w:r>
      <w:r w:rsidRPr="006B48F4">
        <w:t xml:space="preserve"> </w:t>
      </w:r>
      <w:proofErr w:type="spellStart"/>
      <w:r w:rsidRPr="006B48F4">
        <w:t>TIHV:n</w:t>
      </w:r>
      <w:proofErr w:type="spellEnd"/>
      <w:r w:rsidRPr="006B48F4">
        <w:t xml:space="preserve"> mukaan 1 079 ihmistä otti yhteyttä </w:t>
      </w:r>
      <w:proofErr w:type="spellStart"/>
      <w:r w:rsidRPr="006B48F4">
        <w:t>TIHV:n</w:t>
      </w:r>
      <w:proofErr w:type="spellEnd"/>
      <w:r w:rsidRPr="006B48F4">
        <w:t xml:space="preserve"> omiin kuntoutuskeskuksiin vuonna 2022, kertoen joutuneensa kidutuksen ja pahoinpitelyn kohteeksi.</w:t>
      </w:r>
      <w:r w:rsidRPr="006B48F4">
        <w:rPr>
          <w:vertAlign w:val="superscript"/>
        </w:rPr>
        <w:footnoteReference w:id="40"/>
      </w:r>
      <w:r w:rsidRPr="006B48F4">
        <w:t xml:space="preserve"> </w:t>
      </w:r>
      <w:proofErr w:type="spellStart"/>
      <w:r w:rsidRPr="006B48F4">
        <w:t>TIHV:n</w:t>
      </w:r>
      <w:proofErr w:type="spellEnd"/>
      <w:r w:rsidRPr="006B48F4">
        <w:t xml:space="preserve"> tilasto</w:t>
      </w:r>
      <w:r w:rsidR="004A7209">
        <w:t>jen mukaan</w:t>
      </w:r>
      <w:r w:rsidRPr="006B48F4">
        <w:t xml:space="preserve"> 56,9 % heistä oli miehiä, 39,1 % naisia ja 4 % sukupuoli- tai seksuaalivähemmistöihin (LGBTI+) kuuluvia.</w:t>
      </w:r>
      <w:r w:rsidRPr="006B48F4">
        <w:rPr>
          <w:vertAlign w:val="superscript"/>
        </w:rPr>
        <w:footnoteReference w:id="41"/>
      </w:r>
      <w:r w:rsidRPr="006B48F4">
        <w:t xml:space="preserve"> Koko 1079 henkilön ryhmästä 53,5 % kertoi olleensa kiinniotettuna vuonna 2022 ja 46,5 % ennen vuotta 2022.</w:t>
      </w:r>
      <w:r w:rsidRPr="006B48F4">
        <w:rPr>
          <w:vertAlign w:val="superscript"/>
        </w:rPr>
        <w:footnoteReference w:id="42"/>
      </w:r>
      <w:r w:rsidRPr="006B48F4">
        <w:t xml:space="preserve"> </w:t>
      </w:r>
    </w:p>
    <w:p w14:paraId="2FCE54E6" w14:textId="6559A4D6" w:rsidR="006B48F4" w:rsidRPr="006B48F4" w:rsidRDefault="004A7209" w:rsidP="006B48F4">
      <w:pPr>
        <w:jc w:val="left"/>
      </w:pPr>
      <w:bookmarkStart w:id="13" w:name="_Hlk160800612"/>
      <w:r>
        <w:t>K</w:t>
      </w:r>
      <w:r w:rsidRPr="006B48F4">
        <w:t xml:space="preserve">idutuksen kohteeksi joutuneista </w:t>
      </w:r>
      <w:r w:rsidR="006B48F4" w:rsidRPr="006B48F4">
        <w:t>1 097 henkilö</w:t>
      </w:r>
      <w:r>
        <w:t>stä</w:t>
      </w:r>
      <w:r w:rsidR="006B48F4" w:rsidRPr="006B48F4">
        <w:t xml:space="preserve"> 91,6 % oli kiinniotettuna poliittisen mielipiteen, -identiteetin tai -tekojen vuoksi, 6,6 % sukupuolisen identiteetin/suuntautumisen vuoksi ja 2,3 % rikosasian vuoksi.</w:t>
      </w:r>
      <w:r w:rsidR="006B48F4" w:rsidRPr="006B48F4">
        <w:rPr>
          <w:vertAlign w:val="superscript"/>
        </w:rPr>
        <w:footnoteReference w:id="43"/>
      </w:r>
      <w:r w:rsidR="006B48F4" w:rsidRPr="006B48F4">
        <w:t xml:space="preserve"> </w:t>
      </w:r>
      <w:bookmarkEnd w:id="13"/>
      <w:r w:rsidR="006B48F4" w:rsidRPr="006B48F4">
        <w:t xml:space="preserve">Vuonna 2022 kiinniotetuista 80,5 % kertoi olleensa kiinniotettuna alle 24 h ja 17,1 % </w:t>
      </w:r>
      <w:r>
        <w:t xml:space="preserve">noin </w:t>
      </w:r>
      <w:r w:rsidR="006B48F4" w:rsidRPr="006B48F4">
        <w:t>2-4 päivää.</w:t>
      </w:r>
      <w:r w:rsidR="006B48F4" w:rsidRPr="006B48F4">
        <w:rPr>
          <w:vertAlign w:val="superscript"/>
        </w:rPr>
        <w:footnoteReference w:id="44"/>
      </w:r>
      <w:r w:rsidR="006B48F4" w:rsidRPr="006B48F4">
        <w:t xml:space="preserve"> Vuonna 2022 kiinniotetuista 42,8 % kertoi kidutuksen tapahtuneen yhdessä </w:t>
      </w:r>
      <w:proofErr w:type="spellStart"/>
      <w:r w:rsidR="006B48F4" w:rsidRPr="006B48F4">
        <w:t>lokaatiossa</w:t>
      </w:r>
      <w:proofErr w:type="spellEnd"/>
      <w:r w:rsidR="006B48F4" w:rsidRPr="006B48F4">
        <w:t xml:space="preserve">, 27,6 % kahdessa eri </w:t>
      </w:r>
      <w:proofErr w:type="spellStart"/>
      <w:r w:rsidR="006B48F4" w:rsidRPr="006B48F4">
        <w:t>lokaatiossa</w:t>
      </w:r>
      <w:proofErr w:type="spellEnd"/>
      <w:r w:rsidR="006B48F4" w:rsidRPr="006B48F4">
        <w:t xml:space="preserve"> ja 24,1 kolmessa eri </w:t>
      </w:r>
      <w:proofErr w:type="spellStart"/>
      <w:r w:rsidR="006B48F4" w:rsidRPr="006B48F4">
        <w:t>lokaatiossa</w:t>
      </w:r>
      <w:proofErr w:type="spellEnd"/>
      <w:r w:rsidR="006B48F4" w:rsidRPr="006B48F4">
        <w:t>.</w:t>
      </w:r>
      <w:r w:rsidR="006B48F4" w:rsidRPr="006B48F4">
        <w:rPr>
          <w:vertAlign w:val="superscript"/>
        </w:rPr>
        <w:footnoteReference w:id="45"/>
      </w:r>
      <w:r w:rsidR="006B48F4" w:rsidRPr="006B48F4">
        <w:t xml:space="preserve"> Vuonna 2022 kiinniotetuista 76,8 % kertoi kidutuksen tapahtuneen ulkoilmassa, 43.6 % poliisin päämajassa, 44,2 % ajoneuvossa, 8,6 % kiinniotetun omassa kodissa, 7,5 % poliisin tiloissa,1,7 % santarmiasemalla, 0,3 % tuntemattomassa paikassa sisätiloissa,</w:t>
      </w:r>
      <w:r w:rsidR="00B338B3">
        <w:t xml:space="preserve"> </w:t>
      </w:r>
      <w:r w:rsidR="006B48F4" w:rsidRPr="006B48F4">
        <w:t>0,3 % oikeustalolla, 0,2 % santarmin päämajassa, 0,2 % vankilassa.</w:t>
      </w:r>
      <w:r w:rsidR="006B48F4" w:rsidRPr="006B48F4">
        <w:rPr>
          <w:vertAlign w:val="superscript"/>
        </w:rPr>
        <w:footnoteReference w:id="46"/>
      </w:r>
      <w:r w:rsidR="006B48F4" w:rsidRPr="006B48F4">
        <w:t xml:space="preserve"> Kiinnioton paikkakunnaksi vuonna 2022 kiinniotetut kertoivat tyypillisimmin Istanbulin (34,7 %), Vanin (17,8 %), Izmirin (16,2 %) ja Ankaran (10,1 %).</w:t>
      </w:r>
      <w:r w:rsidR="006B48F4" w:rsidRPr="006B48F4">
        <w:rPr>
          <w:vertAlign w:val="superscript"/>
        </w:rPr>
        <w:footnoteReference w:id="47"/>
      </w:r>
      <w:r w:rsidR="006B48F4" w:rsidRPr="006B48F4">
        <w:t xml:space="preserve">  </w:t>
      </w:r>
    </w:p>
    <w:p w14:paraId="511577A1" w14:textId="3B1588B9" w:rsidR="006B48F4" w:rsidRPr="009B45AC" w:rsidRDefault="006B48F4" w:rsidP="009F0E3A">
      <w:pPr>
        <w:jc w:val="left"/>
      </w:pPr>
      <w:r w:rsidRPr="006B48F4">
        <w:t>Vuonna 2022 kiinniotetuista 77,3 % kertoi tulleensa vapautetuksi ilman että asiaa oli viety syyttäjän toimistoon, 16,8 % oli saanut vapauttavan päätöksen syyttäjäntoimistolta tai oikeudelta, 3,8 % oli pidätetty ja 1 %:lla ei ollut muistikuvaa asiasta.</w:t>
      </w:r>
      <w:r w:rsidRPr="006B48F4">
        <w:rPr>
          <w:vertAlign w:val="superscript"/>
        </w:rPr>
        <w:footnoteReference w:id="48"/>
      </w:r>
      <w:r w:rsidRPr="006B48F4">
        <w:t xml:space="preserve"> Koko 1 097 henkilön ryhmästä 47,4 % oli ollut aikaisemmin vankilassa. Heistä 65,5 % oli ollut vankilassa Diyarbakirissa, Vanissa ja </w:t>
      </w:r>
      <w:proofErr w:type="spellStart"/>
      <w:r w:rsidRPr="006B48F4">
        <w:t>Cizressä</w:t>
      </w:r>
      <w:proofErr w:type="spellEnd"/>
      <w:r w:rsidR="00B338B3">
        <w:rPr>
          <w:rStyle w:val="Alaviitteenviite"/>
        </w:rPr>
        <w:footnoteReference w:id="49"/>
      </w:r>
      <w:r w:rsidRPr="006B48F4">
        <w:t>, ja 34,5 % Istanbulissa, Izmirissä ja Ankarassa.</w:t>
      </w:r>
      <w:r w:rsidRPr="006B48F4">
        <w:rPr>
          <w:vertAlign w:val="superscript"/>
        </w:rPr>
        <w:footnoteReference w:id="50"/>
      </w:r>
      <w:r w:rsidRPr="006B48F4">
        <w:t xml:space="preserve"> Aikaisemmin vankilassa olleista 68,8 % oli ollut korkean turvaluokituksen vankilassa.</w:t>
      </w:r>
      <w:r w:rsidRPr="006B48F4">
        <w:rPr>
          <w:vertAlign w:val="superscript"/>
        </w:rPr>
        <w:footnoteReference w:id="51"/>
      </w:r>
      <w:r w:rsidRPr="006B48F4">
        <w:t xml:space="preserve"> </w:t>
      </w:r>
    </w:p>
    <w:p w14:paraId="58B7D41E" w14:textId="14A13044" w:rsidR="00E214D4" w:rsidRDefault="00C3786A" w:rsidP="00E214D4">
      <w:pPr>
        <w:jc w:val="left"/>
      </w:pPr>
      <w:r w:rsidRPr="00C3786A">
        <w:lastRenderedPageBreak/>
        <w:t xml:space="preserve">Yhdysvaltain vuoden 2022 ihmisoikeusraportin mukaan </w:t>
      </w:r>
      <w:r>
        <w:t>Turkin h</w:t>
      </w:r>
      <w:r w:rsidR="00E214D4" w:rsidRPr="00BD1630">
        <w:t xml:space="preserve">allitus ei julkistanut säännöllisesti tietoja vankilahenkilökunnan toimista johtuneista vankikuolemista. </w:t>
      </w:r>
      <w:r w:rsidR="00E214D4" w:rsidRPr="00043D7E">
        <w:t>HDP-puolueelta</w:t>
      </w:r>
      <w:r w:rsidR="00E214D4">
        <w:rPr>
          <w:rStyle w:val="Alaviitteenviite"/>
        </w:rPr>
        <w:footnoteReference w:id="52"/>
      </w:r>
      <w:r w:rsidR="00E214D4" w:rsidRPr="00043D7E">
        <w:t xml:space="preserve"> ja </w:t>
      </w:r>
      <w:r w:rsidR="00606571">
        <w:t>IHD</w:t>
      </w:r>
      <w:r w:rsidR="00E214D4" w:rsidRPr="00043D7E">
        <w:t xml:space="preserve">-ihmisoikeusjärjestöltä saatujen tietojen mukaan </w:t>
      </w:r>
      <w:r w:rsidR="00E214D4" w:rsidRPr="00254C6F">
        <w:t xml:space="preserve">noin 61–73 vankia oli kuollut vankiloissa joulukuun 2021 jälkeen. </w:t>
      </w:r>
      <w:proofErr w:type="spellStart"/>
      <w:r w:rsidR="00E214D4" w:rsidRPr="00254C6F">
        <w:t>HDP:n</w:t>
      </w:r>
      <w:proofErr w:type="spellEnd"/>
      <w:r w:rsidR="00E214D4" w:rsidRPr="00254C6F">
        <w:t xml:space="preserve"> mukaan 39 kuoli sairauden vuoksi ja 31 teki itsemurhan. </w:t>
      </w:r>
      <w:r w:rsidR="00606571">
        <w:t>IHD</w:t>
      </w:r>
      <w:r w:rsidR="00E214D4" w:rsidRPr="00254C6F">
        <w:t xml:space="preserve"> listasi kuolemansyiksi sairauden, itsemurhan, väkivallan ja ”</w:t>
      </w:r>
      <w:r w:rsidR="00FD3C0B">
        <w:t>välinpitämättömyyden</w:t>
      </w:r>
      <w:r w:rsidR="00E214D4" w:rsidRPr="00254C6F">
        <w:t>” (</w:t>
      </w:r>
      <w:proofErr w:type="spellStart"/>
      <w:r w:rsidR="00E214D4" w:rsidRPr="00254C6F">
        <w:t>negligence</w:t>
      </w:r>
      <w:proofErr w:type="spellEnd"/>
      <w:r w:rsidR="00E214D4" w:rsidRPr="00254C6F">
        <w:t>). CISST-kansalaisjärjestön mukaan tammi-elokuussa 2022 vankiloissa oli 42 epäilyttävää kuolemaa.</w:t>
      </w:r>
      <w:r w:rsidR="00E214D4" w:rsidRPr="00254C6F">
        <w:rPr>
          <w:rStyle w:val="Alaviitteenviite"/>
        </w:rPr>
        <w:footnoteReference w:id="53"/>
      </w:r>
      <w:r w:rsidR="00E214D4">
        <w:t xml:space="preserve"> </w:t>
      </w:r>
      <w:proofErr w:type="spellStart"/>
      <w:r w:rsidR="000B0CCD">
        <w:t>Ahval</w:t>
      </w:r>
      <w:proofErr w:type="spellEnd"/>
      <w:r w:rsidR="000B0CCD">
        <w:t>-median mukaan Turkin vankiloissa tapahtuu kuolemia lähinnä silloin, kun vanki on eristettynä. Tällaisista kuolemista saadaan rajoitetusti tietoa.</w:t>
      </w:r>
      <w:r w:rsidR="000B0CCD">
        <w:rPr>
          <w:rStyle w:val="Alaviitteenviite"/>
        </w:rPr>
        <w:footnoteReference w:id="54"/>
      </w:r>
    </w:p>
    <w:p w14:paraId="1F516608" w14:textId="77777777" w:rsidR="00E214D4" w:rsidRDefault="00C3786A" w:rsidP="00E214D4">
      <w:pPr>
        <w:pStyle w:val="Luettelokappale"/>
        <w:numPr>
          <w:ilvl w:val="0"/>
          <w:numId w:val="34"/>
        </w:numPr>
        <w:jc w:val="left"/>
      </w:pPr>
      <w:r>
        <w:t>Vangin y</w:t>
      </w:r>
      <w:r w:rsidR="00E214D4">
        <w:t>hteys asianajajaan</w:t>
      </w:r>
    </w:p>
    <w:p w14:paraId="10C4004C" w14:textId="00B7B447" w:rsidR="00C3786A" w:rsidRDefault="002A768E" w:rsidP="00E34159">
      <w:pPr>
        <w:jc w:val="left"/>
      </w:pPr>
      <w:r w:rsidRPr="002A768E">
        <w:t>Asianajajaliittojen mukaan kiinniotetuilla oli a</w:t>
      </w:r>
      <w:r>
        <w:t>joittain vaikeuksia saada välittömästi yhteyttä asianajajiin, koska erilaiset säädökset estivät heidän vierailunsa kiinniotetun luona/ vankiloissa, ja koska monet asianajajat olivat haluttomia puolustamaan henkilöitä, joita syytettiin kytköksistä vuoden 2016 vallankaappausyritykseen.</w:t>
      </w:r>
      <w:r>
        <w:rPr>
          <w:rStyle w:val="Alaviitteenviite"/>
        </w:rPr>
        <w:footnoteReference w:id="55"/>
      </w:r>
      <w:r>
        <w:t xml:space="preserve"> </w:t>
      </w:r>
      <w:r w:rsidR="00E34159">
        <w:t>Jotkut ihmisoikeusaktivistit ja asianajajat raportoivat, että vangeilta ja kiinniotetuilta estetään ajoittain mielivaltaisesti mahdollisuus tavata perheenjäseniään ja asianajajia</w:t>
      </w:r>
      <w:r w:rsidR="00F93718">
        <w:t>an</w:t>
      </w:r>
      <w:r w:rsidR="00E34159">
        <w:t>.</w:t>
      </w:r>
      <w:r w:rsidR="00C3786A">
        <w:rPr>
          <w:rStyle w:val="Alaviitteenviite"/>
        </w:rPr>
        <w:footnoteReference w:id="56"/>
      </w:r>
      <w:r w:rsidR="00E34159">
        <w:t xml:space="preserve"> </w:t>
      </w:r>
    </w:p>
    <w:p w14:paraId="4A4C30B6" w14:textId="77777777" w:rsidR="00C3786A" w:rsidRDefault="00C3786A" w:rsidP="00C3786A">
      <w:pPr>
        <w:pStyle w:val="Luettelokappale"/>
        <w:numPr>
          <w:ilvl w:val="0"/>
          <w:numId w:val="34"/>
        </w:numPr>
        <w:jc w:val="left"/>
      </w:pPr>
      <w:r>
        <w:t>Vankiloiden monitorointi</w:t>
      </w:r>
    </w:p>
    <w:p w14:paraId="67F58C6F" w14:textId="2F987E70" w:rsidR="00E34159" w:rsidRPr="00C3786A" w:rsidRDefault="00E34159" w:rsidP="009F0E3A">
      <w:pPr>
        <w:jc w:val="left"/>
      </w:pPr>
      <w:r w:rsidRPr="0037570C">
        <w:t>Hallitus salli joidenkin tarkkailijoiden, mukaan lukien kansanedustajien vierailut vankiloihin. T</w:t>
      </w:r>
      <w:r>
        <w:t xml:space="preserve">urkin sisäministeriöstä kerrottiin, että lain mukaan, hallinnon </w:t>
      </w:r>
      <w:r w:rsidRPr="0037570C">
        <w:t xml:space="preserve">instituutioiden </w:t>
      </w:r>
      <w:proofErr w:type="spellStart"/>
      <w:r w:rsidRPr="00693EAD">
        <w:t>HREIT</w:t>
      </w:r>
      <w:r>
        <w:t>:n</w:t>
      </w:r>
      <w:proofErr w:type="spellEnd"/>
      <w:r w:rsidRPr="00693EAD">
        <w:rPr>
          <w:rStyle w:val="Alaviitteenviite"/>
        </w:rPr>
        <w:footnoteReference w:id="57"/>
      </w:r>
      <w:r w:rsidRPr="00693EAD">
        <w:t xml:space="preserve"> </w:t>
      </w:r>
      <w:r>
        <w:t xml:space="preserve">ja ihmisoikeuksista vastaava parlamentaarisen komission tulee monitoroida vankiloita. Myös CPT, Euroopan neuvoston ihmisoikeusvaltuutettu ja </w:t>
      </w:r>
      <w:r w:rsidRPr="00CC1FA7">
        <w:t xml:space="preserve">YK:n </w:t>
      </w:r>
      <w:r>
        <w:t>m</w:t>
      </w:r>
      <w:r w:rsidRPr="00CC1FA7">
        <w:t>ielivaltaisia pidätyksiä tarkasteleva työryhmä</w:t>
      </w:r>
      <w:r>
        <w:t xml:space="preserve"> saavat tarkkailla vankiloita. </w:t>
      </w:r>
      <w:r w:rsidRPr="00A86496">
        <w:t>Hallitus ei ole antanut riippumattomien kansalaisjärjestöjen monitoroida vankiloita.</w:t>
      </w:r>
      <w:r>
        <w:rPr>
          <w:rStyle w:val="Alaviitteenviite"/>
        </w:rPr>
        <w:footnoteReference w:id="58"/>
      </w:r>
      <w:r>
        <w:t xml:space="preserve"> </w:t>
      </w:r>
      <w:r w:rsidRPr="00CC1FA7">
        <w:t xml:space="preserve">Kansalaisjärjestöt kuten </w:t>
      </w:r>
      <w:r w:rsidR="00606571">
        <w:t>IHD</w:t>
      </w:r>
      <w:r w:rsidRPr="00CC1FA7">
        <w:t xml:space="preserve"> ja </w:t>
      </w:r>
      <w:r>
        <w:t>CISST</w:t>
      </w:r>
      <w:r w:rsidRPr="00CC1FA7">
        <w:t xml:space="preserve"> julkaisivat </w:t>
      </w:r>
      <w:r>
        <w:t>vankilaoloista</w:t>
      </w:r>
      <w:r w:rsidRPr="00CC1FA7">
        <w:t xml:space="preserve"> kaus</w:t>
      </w:r>
      <w:r>
        <w:t xml:space="preserve">ittaisia raportteja. Niiden tiedot perustuivat kansanedustajien ja vankien sekä heidän omaistensa </w:t>
      </w:r>
      <w:r w:rsidR="00F93718">
        <w:t>ja</w:t>
      </w:r>
      <w:r>
        <w:t xml:space="preserve"> asianajajiensa kanssa käytyyn kirjeenvaihtoon ja uutisiin.</w:t>
      </w:r>
      <w:r>
        <w:rPr>
          <w:rStyle w:val="Alaviitteenviite"/>
        </w:rPr>
        <w:footnoteReference w:id="59"/>
      </w:r>
      <w:r>
        <w:t xml:space="preserve"> </w:t>
      </w:r>
    </w:p>
    <w:p w14:paraId="690EA4F2" w14:textId="731A2DDB" w:rsidR="006B48F4" w:rsidRDefault="004E2BE1" w:rsidP="003A4004">
      <w:pPr>
        <w:pStyle w:val="Otsikko1"/>
      </w:pPr>
      <w:r w:rsidRPr="004E2BE1">
        <w:rPr>
          <w:rStyle w:val="KysymyksetChar"/>
          <w:sz w:val="28"/>
        </w:rPr>
        <w:t>Kuinka yleistä vankiin kohdistuva kidutus ja muu epäinhimillinen tai halventava kohtelu on</w:t>
      </w:r>
      <w:r w:rsidR="009751A5" w:rsidRPr="004E2BE1">
        <w:rPr>
          <w:rStyle w:val="KysymyksetChar"/>
          <w:sz w:val="28"/>
        </w:rPr>
        <w:t xml:space="preserve">? </w:t>
      </w:r>
      <w:r w:rsidR="00B00E14" w:rsidRPr="004E2BE1">
        <w:t>Onko ryhmiä, jotka ovat erityisen alttiita kidutukselle vankilassa? Kohdistuuko etnisten vähemmistöjen edustajiin, poliittisiin vankeihin tai sellaisiin vankeihin, joilla on taustaa poliittisesta tai yhteiskunnallisesta toiminnasta useammin huonoa kohtelua kuin muihin vankeihin?</w:t>
      </w:r>
    </w:p>
    <w:p w14:paraId="3BD384ED" w14:textId="6CF9D9E4" w:rsidR="00AB239E" w:rsidRDefault="006B48F4" w:rsidP="006B48F4">
      <w:pPr>
        <w:jc w:val="left"/>
      </w:pPr>
      <w:r w:rsidRPr="006B48F4">
        <w:t xml:space="preserve">Turkin ihmisoikeussäätiön </w:t>
      </w:r>
      <w:r w:rsidR="00AB239E">
        <w:t xml:space="preserve">kuntoutuskeskuksiin vuonna 2022 yhteyttä kidutuksen tai pahoinpitelyn kohteeksi joutumisen vuoksi ottaneista puhui </w:t>
      </w:r>
      <w:proofErr w:type="spellStart"/>
      <w:r w:rsidR="00AB239E">
        <w:t>TIHV:n</w:t>
      </w:r>
      <w:proofErr w:type="spellEnd"/>
      <w:r w:rsidR="00AB239E">
        <w:t xml:space="preserve"> tilastojen mukaan k</w:t>
      </w:r>
      <w:r w:rsidR="00AB239E" w:rsidRPr="006B48F4">
        <w:t xml:space="preserve">urdin </w:t>
      </w:r>
      <w:r w:rsidR="00AB239E" w:rsidRPr="006B48F4">
        <w:lastRenderedPageBreak/>
        <w:t>kieltä tai sen murteita 71, 9</w:t>
      </w:r>
      <w:r w:rsidR="00AB239E">
        <w:t xml:space="preserve"> </w:t>
      </w:r>
      <w:r w:rsidR="00AB239E" w:rsidRPr="006B48F4">
        <w:t>%</w:t>
      </w:r>
      <w:r w:rsidR="00AB239E">
        <w:t xml:space="preserve">, ja noin 4 % kuului </w:t>
      </w:r>
      <w:r w:rsidR="00AB239E" w:rsidRPr="006B48F4">
        <w:t>sukupuoli- tai seksuaalivähemmistöihin (LGBTI+).</w:t>
      </w:r>
      <w:r w:rsidR="00AB239E" w:rsidRPr="006B48F4">
        <w:rPr>
          <w:vertAlign w:val="superscript"/>
        </w:rPr>
        <w:footnoteReference w:id="60"/>
      </w:r>
      <w:r w:rsidR="00AB239E">
        <w:t xml:space="preserve"> </w:t>
      </w:r>
      <w:r w:rsidR="00F93718">
        <w:t xml:space="preserve">Noin </w:t>
      </w:r>
      <w:r w:rsidR="00AB239E" w:rsidRPr="006B48F4">
        <w:t>91,6 % kidutuksen kohteeksi joutuneista oli kiinniotettuna poliittisen mielipiteen, -identiteetin tai -tekojen vuoksi</w:t>
      </w:r>
      <w:r w:rsidR="00AB239E">
        <w:t xml:space="preserve"> ja</w:t>
      </w:r>
      <w:r w:rsidR="00AB239E" w:rsidRPr="006B48F4">
        <w:t xml:space="preserve"> 6,6 % sukupuolisen identiteetin/ suuntautumisen vuoksi.</w:t>
      </w:r>
      <w:r w:rsidR="00AB239E" w:rsidRPr="006B48F4">
        <w:rPr>
          <w:vertAlign w:val="superscript"/>
        </w:rPr>
        <w:footnoteReference w:id="61"/>
      </w:r>
    </w:p>
    <w:p w14:paraId="158CBC42" w14:textId="411F5390" w:rsidR="006B48F4" w:rsidRDefault="006B48F4" w:rsidP="003A4004">
      <w:pPr>
        <w:jc w:val="left"/>
      </w:pPr>
      <w:r w:rsidRPr="00084BA1">
        <w:t>SCF</w:t>
      </w:r>
      <w:r>
        <w:t>-järjestö</w:t>
      </w:r>
      <w:r w:rsidRPr="00084BA1">
        <w:t xml:space="preserve"> </w:t>
      </w:r>
      <w:r>
        <w:t>väitti</w:t>
      </w:r>
      <w:r w:rsidRPr="00084BA1">
        <w:t xml:space="preserve"> toukokuussa 2020 ilmestyneessä</w:t>
      </w:r>
      <w:r>
        <w:t xml:space="preserve"> </w:t>
      </w:r>
      <w:r w:rsidRPr="00084BA1">
        <w:t>raportissaan, että k</w:t>
      </w:r>
      <w:r>
        <w:t xml:space="preserve">idutuksesta ja epäinhimillisestä kohtelusta oli tullut Erdoganin hallituksen keino vaientaa toisinajattelijoita Turkissa. Tämä oli </w:t>
      </w:r>
      <w:proofErr w:type="spellStart"/>
      <w:r>
        <w:t>SCF:n</w:t>
      </w:r>
      <w:proofErr w:type="spellEnd"/>
      <w:r>
        <w:t xml:space="preserve"> mukaan ilmeistä, kun tarkasteli immuniteettia, jonka piirissä virkamiehet tällaisissa toimissa operoivat.</w:t>
      </w:r>
      <w:r>
        <w:rPr>
          <w:rStyle w:val="Alaviitteenviite"/>
        </w:rPr>
        <w:footnoteReference w:id="62"/>
      </w:r>
      <w:r>
        <w:t xml:space="preserve"> </w:t>
      </w:r>
      <w:proofErr w:type="spellStart"/>
      <w:r w:rsidRPr="00A9661C">
        <w:t>Lawyers</w:t>
      </w:r>
      <w:proofErr w:type="spellEnd"/>
      <w:r w:rsidRPr="00A9661C">
        <w:t xml:space="preserve"> for </w:t>
      </w:r>
      <w:proofErr w:type="spellStart"/>
      <w:r w:rsidRPr="00A9661C">
        <w:t>Freedom</w:t>
      </w:r>
      <w:proofErr w:type="spellEnd"/>
      <w:r w:rsidRPr="00A9661C">
        <w:t xml:space="preserve"> –järjestön huhtikuussa 2022 ilmestynee</w:t>
      </w:r>
      <w:r>
        <w:t>ssä</w:t>
      </w:r>
      <w:r w:rsidRPr="00A9661C">
        <w:t xml:space="preserve"> julkilausuma</w:t>
      </w:r>
      <w:r>
        <w:t xml:space="preserve">ssa väitettiin, että </w:t>
      </w:r>
      <w:r w:rsidRPr="00A9661C">
        <w:t>Istanbulin k</w:t>
      </w:r>
      <w:r>
        <w:t xml:space="preserve">orkean turvallisuusluokituksen vankilassa, jonka nimi muuttui </w:t>
      </w:r>
      <w:proofErr w:type="spellStart"/>
      <w:r>
        <w:t>Silivrin</w:t>
      </w:r>
      <w:proofErr w:type="spellEnd"/>
      <w:r>
        <w:t xml:space="preserve"> vankilasta </w:t>
      </w:r>
      <w:proofErr w:type="spellStart"/>
      <w:r>
        <w:t>Marmaran</w:t>
      </w:r>
      <w:proofErr w:type="spellEnd"/>
      <w:r>
        <w:t xml:space="preserve"> vankilaksi 6.4.2022, 60 vanginvartijaa oli kiduttanut vankeja sillä seurauksella, että kuusi vankia oli yrittänyt itsemurhaa.</w:t>
      </w:r>
      <w:r>
        <w:rPr>
          <w:rStyle w:val="Alaviitteenviite"/>
        </w:rPr>
        <w:footnoteReference w:id="63"/>
      </w:r>
      <w:r>
        <w:t xml:space="preserve"> </w:t>
      </w:r>
      <w:proofErr w:type="spellStart"/>
      <w:r w:rsidRPr="00C37E46">
        <w:t>Silivrin</w:t>
      </w:r>
      <w:proofErr w:type="spellEnd"/>
      <w:r w:rsidRPr="00C37E46">
        <w:t xml:space="preserve"> vankilassa pidetään useita korkean profiili</w:t>
      </w:r>
      <w:r>
        <w:t>n omaavia oppositiopoliitikkoja.</w:t>
      </w:r>
      <w:r>
        <w:rPr>
          <w:rStyle w:val="Alaviitteenviite"/>
        </w:rPr>
        <w:footnoteReference w:id="64"/>
      </w:r>
      <w:r>
        <w:t xml:space="preserve"> HDP-puolueen kansanedustaja </w:t>
      </w:r>
      <w:proofErr w:type="spellStart"/>
      <w:r>
        <w:t>Leyla</w:t>
      </w:r>
      <w:proofErr w:type="spellEnd"/>
      <w:r>
        <w:t xml:space="preserve"> </w:t>
      </w:r>
      <w:proofErr w:type="spellStart"/>
      <w:r>
        <w:t>Güven</w:t>
      </w:r>
      <w:proofErr w:type="spellEnd"/>
      <w:r>
        <w:t xml:space="preserve"> kertoi joulukuussa 2019, että naispuolisia poliittisia vankeja o</w:t>
      </w:r>
      <w:r w:rsidR="00F93718">
        <w:t>li</w:t>
      </w:r>
      <w:r>
        <w:t xml:space="preserve"> kidutettu </w:t>
      </w:r>
      <w:proofErr w:type="spellStart"/>
      <w:r>
        <w:t>Bakirköyn</w:t>
      </w:r>
      <w:proofErr w:type="spellEnd"/>
      <w:r>
        <w:t xml:space="preserve"> naisvankilassa. Hän mainitsi </w:t>
      </w:r>
      <w:r w:rsidR="00F93718">
        <w:t xml:space="preserve">noin sadan vartijan </w:t>
      </w:r>
      <w:r>
        <w:t>16 nais</w:t>
      </w:r>
      <w:r w:rsidR="00F93718">
        <w:t>vankiin</w:t>
      </w:r>
      <w:r>
        <w:t xml:space="preserve"> </w:t>
      </w:r>
      <w:r w:rsidR="00F93718">
        <w:t>kohdistaman</w:t>
      </w:r>
      <w:r>
        <w:t xml:space="preserve"> hyökkäyksen ja kidutuksen</w:t>
      </w:r>
      <w:r w:rsidR="00F93718">
        <w:t xml:space="preserve"> </w:t>
      </w:r>
      <w:r>
        <w:t>naisiin kohdistuvan väkivallan vastaisella viikolla.</w:t>
      </w:r>
      <w:r>
        <w:rPr>
          <w:rStyle w:val="Alaviitteenviite"/>
        </w:rPr>
        <w:footnoteReference w:id="65"/>
      </w:r>
    </w:p>
    <w:p w14:paraId="08D90A79" w14:textId="09736E5F" w:rsidR="00F93718" w:rsidRDefault="003A4004" w:rsidP="009751A5">
      <w:pPr>
        <w:jc w:val="left"/>
      </w:pPr>
      <w:r>
        <w:t>Yhdysvaltain ulkoministeriön vuotta 2022 koskevan ihmisoikeusraportin mukaan i</w:t>
      </w:r>
      <w:r w:rsidRPr="006A3AD2">
        <w:t>hmisoikeusjärjestöjen raporteissa väitettiin, että jotkut lääkärit eivät suostuneet mainitsemaan kidutusta lääkärintodistuksissa pelätessään kostoa. Tästä syystä uhrit eivät usein voineet todistaa heihin kohdistunutta pahoinpitelyä.</w:t>
      </w:r>
      <w:r w:rsidRPr="006A3AD2">
        <w:rPr>
          <w:vertAlign w:val="superscript"/>
        </w:rPr>
        <w:footnoteReference w:id="66"/>
      </w:r>
      <w:r w:rsidRPr="006A3AD2">
        <w:t xml:space="preserve"> </w:t>
      </w:r>
      <w:r w:rsidR="005642B5">
        <w:t xml:space="preserve">Kansainvälisen ihmisoikeusjärjestön </w:t>
      </w:r>
      <w:r w:rsidR="005642B5" w:rsidRPr="005642B5">
        <w:t>Human Rig</w:t>
      </w:r>
      <w:r w:rsidR="005642B5">
        <w:t>h</w:t>
      </w:r>
      <w:r w:rsidR="005642B5" w:rsidRPr="005642B5">
        <w:t xml:space="preserve">ts Watchin </w:t>
      </w:r>
      <w:r w:rsidR="00C37E46">
        <w:t xml:space="preserve">vuotta 2023 koskevan </w:t>
      </w:r>
      <w:r w:rsidR="005642B5" w:rsidRPr="005642B5">
        <w:t xml:space="preserve">vuosiraportin mukaan </w:t>
      </w:r>
      <w:r w:rsidR="005642B5">
        <w:t xml:space="preserve">väitteitä </w:t>
      </w:r>
      <w:r w:rsidR="005642B5" w:rsidRPr="005642B5">
        <w:t>po</w:t>
      </w:r>
      <w:r w:rsidR="005642B5">
        <w:t>liisin ja santarmin pidätystiloissa ja vankiloissa tapahtuneesta kidutuksesta on harvoin tutkittu tarkoin, ja tekijöitä vastaan on vielä harvemmin nostettu syytteitä.</w:t>
      </w:r>
      <w:r w:rsidR="00F93718" w:rsidRPr="00F93718">
        <w:rPr>
          <w:rStyle w:val="Alaviitteenviite"/>
        </w:rPr>
        <w:t xml:space="preserve"> </w:t>
      </w:r>
      <w:r w:rsidR="00F93718">
        <w:rPr>
          <w:rStyle w:val="Alaviitteenviite"/>
        </w:rPr>
        <w:footnoteReference w:id="67"/>
      </w:r>
      <w:r w:rsidR="00F93718">
        <w:t xml:space="preserve">  </w:t>
      </w:r>
    </w:p>
    <w:p w14:paraId="3E5CB9DB" w14:textId="335917E0" w:rsidR="005642B5" w:rsidRPr="00C14636" w:rsidRDefault="00F93718" w:rsidP="009751A5">
      <w:pPr>
        <w:jc w:val="left"/>
      </w:pPr>
      <w:proofErr w:type="spellStart"/>
      <w:r>
        <w:t>HRW:n</w:t>
      </w:r>
      <w:proofErr w:type="spellEnd"/>
      <w:r>
        <w:t xml:space="preserve"> mukaan</w:t>
      </w:r>
      <w:r w:rsidR="005642B5">
        <w:t xml:space="preserve"> </w:t>
      </w:r>
      <w:r>
        <w:t>p</w:t>
      </w:r>
      <w:r w:rsidR="00C14636" w:rsidRPr="00C14636">
        <w:t xml:space="preserve">oliisi on pahoinpidellyt </w:t>
      </w:r>
      <w:r w:rsidR="00C14636">
        <w:t>myös s</w:t>
      </w:r>
      <w:r w:rsidR="00C14636" w:rsidRPr="00C14636">
        <w:t>yyrialaisia pakolaisia. T</w:t>
      </w:r>
      <w:r w:rsidR="00C14636">
        <w:t>ällöin</w:t>
      </w:r>
      <w:r w:rsidR="00C14636" w:rsidRPr="00C14636">
        <w:t xml:space="preserve"> taustalla on ollut </w:t>
      </w:r>
      <w:proofErr w:type="spellStart"/>
      <w:r w:rsidR="00C14636" w:rsidRPr="00C14636">
        <w:t>ksenofobisia</w:t>
      </w:r>
      <w:proofErr w:type="spellEnd"/>
      <w:r w:rsidR="00C14636">
        <w:t xml:space="preserve"> motiiveja. Maasta poistamista varten perustetuista keskuksista, joissa on ulkomaiden kansalaisia, m</w:t>
      </w:r>
      <w:r w:rsidR="00C37E46">
        <w:t>ukaan lukien</w:t>
      </w:r>
      <w:r w:rsidR="00C14636">
        <w:t xml:space="preserve"> turvapaikanhakijoita, on raportoitu julmaa, epäinhimillistä ja halventavaa kohtelua ja </w:t>
      </w:r>
      <w:r w:rsidR="00AB239E">
        <w:t>liika</w:t>
      </w:r>
      <w:r w:rsidR="00C14636">
        <w:t>kansoitusta.</w:t>
      </w:r>
      <w:r w:rsidR="00C14636">
        <w:rPr>
          <w:rStyle w:val="Alaviitteenviite"/>
        </w:rPr>
        <w:footnoteReference w:id="68"/>
      </w:r>
      <w:r w:rsidR="00C14636">
        <w:t xml:space="preserve"> </w:t>
      </w:r>
      <w:r w:rsidR="00C3786A">
        <w:t xml:space="preserve"> </w:t>
      </w:r>
    </w:p>
    <w:p w14:paraId="3429DE38" w14:textId="16B86995" w:rsidR="003A4004" w:rsidRPr="00386B83" w:rsidRDefault="003A4004" w:rsidP="00AB239E">
      <w:pPr>
        <w:jc w:val="left"/>
      </w:pPr>
      <w:r w:rsidRPr="008A3BB0">
        <w:t xml:space="preserve">Euroopan neuvoston </w:t>
      </w:r>
      <w:r>
        <w:t>parlamentaarisen yleiskokouksen tammikuussa 2024 ilmestynee</w:t>
      </w:r>
      <w:r w:rsidR="00F93718">
        <w:t>ssä</w:t>
      </w:r>
      <w:r>
        <w:t xml:space="preserve"> päätöslausuma</w:t>
      </w:r>
      <w:r w:rsidR="00F93718">
        <w:t>ssa</w:t>
      </w:r>
      <w:r>
        <w:t xml:space="preserve"> </w:t>
      </w:r>
      <w:r w:rsidR="00F93718">
        <w:t>pidettiin</w:t>
      </w:r>
      <w:r>
        <w:t xml:space="preserve"> hälyttävänä sitä, että kidutus ja muut pahoinpitelyn muodot vaikuttivat olevan systemaattisia Turkissa. </w:t>
      </w:r>
      <w:r w:rsidRPr="00EB7EAD">
        <w:t xml:space="preserve">Yleiskokous esitti huolensa raporteista, joiden mukaan, vaikka Turkin </w:t>
      </w:r>
      <w:r>
        <w:t xml:space="preserve">viranomaiset viestivät nollatoleranssista, kidutus ja pahoinpitely ovat olleet viime vuosina nousussa poliisin pidätystiloissa ja vankiloissa. </w:t>
      </w:r>
      <w:r w:rsidRPr="00EB7EAD">
        <w:t xml:space="preserve">Tämä </w:t>
      </w:r>
      <w:r>
        <w:t>on luonut</w:t>
      </w:r>
      <w:r w:rsidRPr="00EB7EAD">
        <w:t xml:space="preserve"> varjon Turkin aikaisemmin myönteiselle kehitykselle näissä asioissa. Yleiskokous piti tervetulleena sitä, että </w:t>
      </w:r>
      <w:r>
        <w:t xml:space="preserve">Turkin </w:t>
      </w:r>
      <w:r w:rsidRPr="00EB7EAD">
        <w:t>perustuslaillinen tuomioistuin o</w:t>
      </w:r>
      <w:r>
        <w:t>n</w:t>
      </w:r>
      <w:r w:rsidRPr="00EB7EAD">
        <w:t xml:space="preserve"> havainnut </w:t>
      </w:r>
      <w:r>
        <w:t xml:space="preserve">pahoinpitelyn kiellon vastaisia </w:t>
      </w:r>
      <w:r w:rsidRPr="00EB7EAD">
        <w:t>ri</w:t>
      </w:r>
      <w:r>
        <w:t>kkomuksia, ja että se on määrännyt uusia tutkimuksia valitusten perusteella ja kannustaa maan muita tuomioistuimia seuraamaan asianomaista oikeuskäytäntöä.</w:t>
      </w:r>
      <w:r>
        <w:rPr>
          <w:rStyle w:val="Alaviitteenviite"/>
        </w:rPr>
        <w:footnoteReference w:id="69"/>
      </w:r>
      <w:r>
        <w:t xml:space="preserve">   </w:t>
      </w:r>
      <w:r w:rsidRPr="00EB7EAD">
        <w:t xml:space="preserve">  </w:t>
      </w:r>
    </w:p>
    <w:bookmarkEnd w:id="3"/>
    <w:p w14:paraId="453EDFE9" w14:textId="77777777" w:rsidR="00082DFE" w:rsidRDefault="00082DFE" w:rsidP="00543F66">
      <w:pPr>
        <w:pStyle w:val="Otsikko2"/>
        <w:numPr>
          <w:ilvl w:val="0"/>
          <w:numId w:val="0"/>
        </w:numPr>
        <w:rPr>
          <w:lang w:val="en-US"/>
        </w:rPr>
      </w:pPr>
      <w:proofErr w:type="spellStart"/>
      <w:r w:rsidRPr="00CE20C6">
        <w:rPr>
          <w:lang w:val="en-US"/>
        </w:rPr>
        <w:lastRenderedPageBreak/>
        <w:t>Lähteet</w:t>
      </w:r>
      <w:proofErr w:type="spellEnd"/>
    </w:p>
    <w:p w14:paraId="1820D81F" w14:textId="77777777" w:rsidR="00C37E46" w:rsidRDefault="00C37E46" w:rsidP="009E2D98">
      <w:pPr>
        <w:jc w:val="left"/>
      </w:pPr>
      <w:proofErr w:type="spellStart"/>
      <w:r w:rsidRPr="00C37E46">
        <w:rPr>
          <w:lang w:val="en-US"/>
        </w:rPr>
        <w:t>Ahval</w:t>
      </w:r>
      <w:proofErr w:type="spellEnd"/>
      <w:r w:rsidRPr="00C37E46">
        <w:rPr>
          <w:lang w:val="en-US"/>
        </w:rPr>
        <w:t xml:space="preserve"> 10.3.2022. </w:t>
      </w:r>
      <w:r w:rsidRPr="00C37E46">
        <w:rPr>
          <w:i/>
          <w:lang w:val="en-US"/>
        </w:rPr>
        <w:t>Torture incidents double against Turkey’s political prisoners</w:t>
      </w:r>
      <w:r w:rsidRPr="00C37E46">
        <w:rPr>
          <w:lang w:val="en-US"/>
        </w:rPr>
        <w:t xml:space="preserve">. </w:t>
      </w:r>
      <w:hyperlink r:id="rId8" w:history="1">
        <w:r w:rsidRPr="00C37E46">
          <w:rPr>
            <w:rStyle w:val="Hyperlinkki"/>
          </w:rPr>
          <w:t>https://ahvalnews.com/turkey-prisons/torture-incidents-double-against-turkeys-political-prisoners</w:t>
        </w:r>
      </w:hyperlink>
      <w:r w:rsidRPr="00C37E46">
        <w:t xml:space="preserve"> (käyty 1.3.2024)</w:t>
      </w:r>
    </w:p>
    <w:p w14:paraId="3F0FD502" w14:textId="76B02510" w:rsidR="00A265B8" w:rsidRDefault="00A265B8" w:rsidP="009E2D98">
      <w:pPr>
        <w:jc w:val="left"/>
      </w:pPr>
      <w:r w:rsidRPr="00FD3C0B">
        <w:rPr>
          <w:lang w:val="sv-SE"/>
        </w:rPr>
        <w:t xml:space="preserve">CISST </w:t>
      </w:r>
      <w:r w:rsidR="00FD3C0B" w:rsidRPr="00FD3C0B">
        <w:rPr>
          <w:lang w:val="sv-SE"/>
        </w:rPr>
        <w:t>(</w:t>
      </w:r>
      <w:proofErr w:type="spellStart"/>
      <w:r w:rsidR="00FD3C0B" w:rsidRPr="00FD3C0B">
        <w:rPr>
          <w:lang w:val="sv-SE"/>
        </w:rPr>
        <w:t>Ceza</w:t>
      </w:r>
      <w:proofErr w:type="spellEnd"/>
      <w:r w:rsidR="00FD3C0B" w:rsidRPr="00FD3C0B">
        <w:rPr>
          <w:lang w:val="sv-SE"/>
        </w:rPr>
        <w:t xml:space="preserve"> </w:t>
      </w:r>
      <w:proofErr w:type="spellStart"/>
      <w:r w:rsidR="00FD3C0B" w:rsidRPr="00FD3C0B">
        <w:rPr>
          <w:lang w:val="sv-SE"/>
        </w:rPr>
        <w:t>İnfaz</w:t>
      </w:r>
      <w:proofErr w:type="spellEnd"/>
      <w:r w:rsidR="00FD3C0B" w:rsidRPr="00FD3C0B">
        <w:rPr>
          <w:lang w:val="sv-SE"/>
        </w:rPr>
        <w:t xml:space="preserve"> Sisteminde </w:t>
      </w:r>
      <w:proofErr w:type="spellStart"/>
      <w:r w:rsidR="00FD3C0B" w:rsidRPr="00FD3C0B">
        <w:rPr>
          <w:lang w:val="sv-SE"/>
        </w:rPr>
        <w:t>Sivil</w:t>
      </w:r>
      <w:proofErr w:type="spellEnd"/>
      <w:r w:rsidR="00FD3C0B" w:rsidRPr="00FD3C0B">
        <w:rPr>
          <w:lang w:val="sv-SE"/>
        </w:rPr>
        <w:t xml:space="preserve"> </w:t>
      </w:r>
      <w:proofErr w:type="spellStart"/>
      <w:r w:rsidR="00FD3C0B" w:rsidRPr="00FD3C0B">
        <w:rPr>
          <w:lang w:val="sv-SE"/>
        </w:rPr>
        <w:t>Toplum</w:t>
      </w:r>
      <w:proofErr w:type="spellEnd"/>
      <w:r w:rsidR="00FD3C0B" w:rsidRPr="00FD3C0B">
        <w:rPr>
          <w:lang w:val="sv-SE"/>
        </w:rPr>
        <w:t xml:space="preserve"> </w:t>
      </w:r>
      <w:proofErr w:type="spellStart"/>
      <w:r w:rsidR="00FD3C0B" w:rsidRPr="00FD3C0B">
        <w:rPr>
          <w:lang w:val="sv-SE"/>
        </w:rPr>
        <w:t>Derneği</w:t>
      </w:r>
      <w:proofErr w:type="spellEnd"/>
      <w:r w:rsidR="00FD3C0B" w:rsidRPr="00FD3C0B">
        <w:rPr>
          <w:lang w:val="sv-SE"/>
        </w:rPr>
        <w:t xml:space="preserve">) </w:t>
      </w:r>
      <w:r w:rsidRPr="00FD3C0B">
        <w:rPr>
          <w:lang w:val="sv-SE"/>
        </w:rPr>
        <w:t xml:space="preserve">8/2019. </w:t>
      </w:r>
      <w:r w:rsidRPr="00A265B8">
        <w:rPr>
          <w:i/>
          <w:lang w:val="en-US"/>
        </w:rPr>
        <w:t>Prisons of Turkey Report</w:t>
      </w:r>
      <w:r w:rsidRPr="00A265B8">
        <w:rPr>
          <w:lang w:val="en-US"/>
        </w:rPr>
        <w:t xml:space="preserve">. </w:t>
      </w:r>
      <w:hyperlink r:id="rId9" w:history="1">
        <w:r w:rsidRPr="00A265B8">
          <w:rPr>
            <w:rStyle w:val="Hyperlinkki"/>
          </w:rPr>
          <w:t>https://cisst.org.tr/wp-content/uploads/2019/08/Prisons-of-Turkey-Report.pdf</w:t>
        </w:r>
      </w:hyperlink>
      <w:r w:rsidRPr="00A265B8">
        <w:t xml:space="preserve"> (käyty 4.3.2012)</w:t>
      </w:r>
    </w:p>
    <w:p w14:paraId="5D6B8CF5" w14:textId="77777777" w:rsidR="000E0B2E" w:rsidRPr="000E0B2E" w:rsidRDefault="000E0B2E" w:rsidP="009E2D98">
      <w:pPr>
        <w:jc w:val="left"/>
      </w:pPr>
      <w:proofErr w:type="spellStart"/>
      <w:r w:rsidRPr="000E0B2E">
        <w:rPr>
          <w:lang w:val="en-US"/>
        </w:rPr>
        <w:t>CoE</w:t>
      </w:r>
      <w:proofErr w:type="spellEnd"/>
      <w:r w:rsidRPr="000E0B2E">
        <w:rPr>
          <w:lang w:val="en-US"/>
        </w:rPr>
        <w:t xml:space="preserve"> </w:t>
      </w:r>
      <w:r>
        <w:rPr>
          <w:lang w:val="en-US"/>
        </w:rPr>
        <w:t>(</w:t>
      </w:r>
      <w:r w:rsidRPr="009E2D98">
        <w:rPr>
          <w:lang w:val="en-US"/>
        </w:rPr>
        <w:t>Council of Europe</w:t>
      </w:r>
      <w:r w:rsidRPr="000E0B2E">
        <w:rPr>
          <w:lang w:val="en-US"/>
        </w:rPr>
        <w:t>)</w:t>
      </w:r>
      <w:r>
        <w:rPr>
          <w:lang w:val="en-US"/>
        </w:rPr>
        <w:t xml:space="preserve"> </w:t>
      </w:r>
      <w:r w:rsidRPr="000E0B2E">
        <w:rPr>
          <w:lang w:val="en-US"/>
        </w:rPr>
        <w:t>5.4.2022</w:t>
      </w:r>
      <w:r>
        <w:rPr>
          <w:lang w:val="en-US"/>
        </w:rPr>
        <w:t xml:space="preserve">. </w:t>
      </w:r>
      <w:r w:rsidRPr="000E0B2E">
        <w:rPr>
          <w:i/>
          <w:lang w:val="en-US"/>
        </w:rPr>
        <w:t>Promoting more humane and socially effective penal sanctions</w:t>
      </w:r>
      <w:r>
        <w:rPr>
          <w:lang w:val="en-US"/>
        </w:rPr>
        <w:t xml:space="preserve">. </w:t>
      </w:r>
      <w:hyperlink r:id="rId10" w:history="1">
        <w:r w:rsidRPr="000E0B2E">
          <w:rPr>
            <w:rStyle w:val="Hyperlinkki"/>
          </w:rPr>
          <w:t>https://www.coe.int/en/web/prison/home/-/asset_publisher/ky2olXXXogcx/content/council-of-europe-s-annual-penal-statistics-covid-19-pandemic-helped-reduce-europe-s-prison-population</w:t>
        </w:r>
      </w:hyperlink>
      <w:r w:rsidRPr="000E0B2E">
        <w:t xml:space="preserve"> (kä</w:t>
      </w:r>
      <w:r>
        <w:t>yty 4.3.2024)</w:t>
      </w:r>
    </w:p>
    <w:p w14:paraId="020B8E0A" w14:textId="77777777" w:rsidR="009E2D98" w:rsidRPr="009E2D98" w:rsidRDefault="009E2D98" w:rsidP="009E2D98">
      <w:pPr>
        <w:jc w:val="left"/>
        <w:rPr>
          <w:lang w:val="en-US"/>
        </w:rPr>
      </w:pPr>
      <w:proofErr w:type="spellStart"/>
      <w:r w:rsidRPr="009E2D98">
        <w:rPr>
          <w:lang w:val="en-US"/>
        </w:rPr>
        <w:t>CoE</w:t>
      </w:r>
      <w:proofErr w:type="spellEnd"/>
      <w:r w:rsidRPr="009E2D98">
        <w:rPr>
          <w:lang w:val="en-US"/>
        </w:rPr>
        <w:t xml:space="preserve">-PACE </w:t>
      </w:r>
      <w:r>
        <w:rPr>
          <w:lang w:val="en-US"/>
        </w:rPr>
        <w:t>(</w:t>
      </w:r>
      <w:r w:rsidRPr="009E2D98">
        <w:rPr>
          <w:lang w:val="en-US"/>
        </w:rPr>
        <w:t>Council of Europe - Parliamentary Assembly</w:t>
      </w:r>
      <w:r>
        <w:rPr>
          <w:lang w:val="en-US"/>
        </w:rPr>
        <w:t>)</w:t>
      </w:r>
      <w:r w:rsidRPr="009E2D98">
        <w:rPr>
          <w:lang w:val="en-US"/>
        </w:rPr>
        <w:t xml:space="preserve"> 24.1.2024.</w:t>
      </w:r>
      <w:r>
        <w:rPr>
          <w:lang w:val="en-US"/>
        </w:rPr>
        <w:t xml:space="preserve"> </w:t>
      </w:r>
      <w:r w:rsidRPr="009E2D98">
        <w:rPr>
          <w:i/>
          <w:lang w:val="en-US"/>
        </w:rPr>
        <w:t>Allegations of systemic torture and inhuman or degrading treatment or punishment in places of detention in Europe</w:t>
      </w:r>
      <w:r>
        <w:rPr>
          <w:lang w:val="en-US"/>
        </w:rPr>
        <w:t xml:space="preserve">. </w:t>
      </w:r>
      <w:r w:rsidR="009751A5" w:rsidRPr="009751A5">
        <w:rPr>
          <w:lang w:val="en-US"/>
        </w:rPr>
        <w:t>Resolution 2528 (2024)1</w:t>
      </w:r>
      <w:r w:rsidR="009751A5">
        <w:rPr>
          <w:lang w:val="en-US"/>
        </w:rPr>
        <w:t>.</w:t>
      </w:r>
      <w:r w:rsidR="009751A5" w:rsidRPr="009751A5">
        <w:rPr>
          <w:lang w:val="en-US"/>
        </w:rPr>
        <w:t xml:space="preserve"> Provisional version</w:t>
      </w:r>
      <w:r w:rsidR="009751A5">
        <w:rPr>
          <w:lang w:val="en-US"/>
        </w:rPr>
        <w:t>.</w:t>
      </w:r>
      <w:r w:rsidR="009751A5" w:rsidRPr="009751A5">
        <w:rPr>
          <w:lang w:val="en-US"/>
        </w:rPr>
        <w:t xml:space="preserve"> </w:t>
      </w:r>
      <w:hyperlink r:id="rId11" w:history="1">
        <w:r w:rsidRPr="00A57337">
          <w:rPr>
            <w:rStyle w:val="Hyperlinkki"/>
            <w:lang w:val="en-US"/>
          </w:rPr>
          <w:t>https://pace.coe.int/pdf/96d00cfb08ac369b60db8b58ddb03cf8cbb4b25d62312ea0033f10f6f3ad54cb/res.%202528.pdf</w:t>
        </w:r>
      </w:hyperlink>
      <w:r>
        <w:rPr>
          <w:lang w:val="en-US"/>
        </w:rPr>
        <w:t xml:space="preserve"> (</w:t>
      </w:r>
      <w:proofErr w:type="spellStart"/>
      <w:r>
        <w:rPr>
          <w:lang w:val="en-US"/>
        </w:rPr>
        <w:t>käyty</w:t>
      </w:r>
      <w:proofErr w:type="spellEnd"/>
      <w:r>
        <w:rPr>
          <w:lang w:val="en-US"/>
        </w:rPr>
        <w:t xml:space="preserve"> 1.3.2024)</w:t>
      </w:r>
    </w:p>
    <w:p w14:paraId="1054D2DA" w14:textId="77777777" w:rsidR="008202C1" w:rsidRDefault="008202C1" w:rsidP="000C591B">
      <w:pPr>
        <w:rPr>
          <w:lang w:val="en-US"/>
        </w:rPr>
      </w:pPr>
      <w:r w:rsidRPr="008202C1">
        <w:rPr>
          <w:lang w:val="en-US"/>
        </w:rPr>
        <w:t xml:space="preserve">CPT </w:t>
      </w:r>
      <w:r w:rsidR="006220A3">
        <w:rPr>
          <w:lang w:val="en-US"/>
        </w:rPr>
        <w:t>(</w:t>
      </w:r>
      <w:r w:rsidR="006220A3" w:rsidRPr="006220A3">
        <w:rPr>
          <w:lang w:val="en-US"/>
        </w:rPr>
        <w:t>European Committee for the Prevention of Torture and Inhuman or Degrading Treatment or Punishment</w:t>
      </w:r>
      <w:r w:rsidR="006220A3">
        <w:rPr>
          <w:lang w:val="en-US"/>
        </w:rPr>
        <w:t>)</w:t>
      </w:r>
      <w:r w:rsidR="006220A3" w:rsidRPr="006220A3">
        <w:rPr>
          <w:lang w:val="en-US"/>
        </w:rPr>
        <w:t xml:space="preserve"> </w:t>
      </w:r>
      <w:r w:rsidRPr="008202C1">
        <w:rPr>
          <w:lang w:val="en-US"/>
        </w:rPr>
        <w:t xml:space="preserve">5.8.2020. </w:t>
      </w:r>
      <w:r w:rsidRPr="008202C1">
        <w:rPr>
          <w:i/>
          <w:lang w:val="en-US"/>
        </w:rPr>
        <w:t xml:space="preserve">Report to the Turkish Government on the visit to Turkey carried out by the </w:t>
      </w:r>
      <w:bookmarkStart w:id="16" w:name="_Hlk160103745"/>
      <w:r w:rsidRPr="008202C1">
        <w:rPr>
          <w:i/>
          <w:lang w:val="en-US"/>
        </w:rPr>
        <w:t>European Committee for the Prevention of Torture and Inhuman or Degrading Treatment or Punishment</w:t>
      </w:r>
      <w:bookmarkEnd w:id="16"/>
      <w:r w:rsidRPr="008202C1">
        <w:rPr>
          <w:i/>
          <w:lang w:val="en-US"/>
        </w:rPr>
        <w:t xml:space="preserve"> (CPT) from 6 to 17 May 2019</w:t>
      </w:r>
      <w:r w:rsidRPr="008202C1">
        <w:rPr>
          <w:lang w:val="en-US"/>
        </w:rPr>
        <w:t xml:space="preserve">. </w:t>
      </w:r>
      <w:bookmarkStart w:id="17" w:name="_Hlk160451496"/>
      <w:r w:rsidR="000B0CCD">
        <w:fldChar w:fldCharType="begin"/>
      </w:r>
      <w:r w:rsidR="000B0CCD" w:rsidRPr="0023576C">
        <w:rPr>
          <w:lang w:val="en-US"/>
        </w:rPr>
        <w:instrText xml:space="preserve"> HYPERLINK "https://rm.coe.int/16809f20a1" </w:instrText>
      </w:r>
      <w:r w:rsidR="000B0CCD">
        <w:fldChar w:fldCharType="separate"/>
      </w:r>
      <w:r w:rsidRPr="008202C1">
        <w:rPr>
          <w:rStyle w:val="Hyperlinkki"/>
          <w:lang w:val="en-US"/>
        </w:rPr>
        <w:t>https://rm.coe.int/16809f20a1</w:t>
      </w:r>
      <w:r w:rsidR="000B0CCD">
        <w:rPr>
          <w:rStyle w:val="Hyperlinkki"/>
          <w:lang w:val="en-US"/>
        </w:rPr>
        <w:fldChar w:fldCharType="end"/>
      </w:r>
      <w:bookmarkEnd w:id="17"/>
      <w:r w:rsidRPr="008202C1">
        <w:rPr>
          <w:lang w:val="en-US"/>
        </w:rPr>
        <w:t xml:space="preserve"> (</w:t>
      </w:r>
      <w:proofErr w:type="spellStart"/>
      <w:r w:rsidRPr="008202C1">
        <w:rPr>
          <w:lang w:val="en-US"/>
        </w:rPr>
        <w:t>käyty</w:t>
      </w:r>
      <w:proofErr w:type="spellEnd"/>
      <w:r w:rsidRPr="008202C1">
        <w:rPr>
          <w:lang w:val="en-US"/>
        </w:rPr>
        <w:t xml:space="preserve"> 23.2.2024)</w:t>
      </w:r>
    </w:p>
    <w:p w14:paraId="2129B809" w14:textId="77777777" w:rsidR="00077010" w:rsidRDefault="00F33D15" w:rsidP="00010B9D">
      <w:pPr>
        <w:jc w:val="left"/>
        <w:rPr>
          <w:lang w:val="en-US"/>
        </w:rPr>
      </w:pPr>
      <w:r>
        <w:rPr>
          <w:lang w:val="en-US"/>
        </w:rPr>
        <w:t>ECHR (</w:t>
      </w:r>
      <w:r w:rsidR="000C591B" w:rsidRPr="000C591B">
        <w:rPr>
          <w:lang w:val="en-US"/>
        </w:rPr>
        <w:t>European Court of Human Rights</w:t>
      </w:r>
      <w:r>
        <w:rPr>
          <w:lang w:val="en-US"/>
        </w:rPr>
        <w:t>)</w:t>
      </w:r>
      <w:r w:rsidR="000C591B" w:rsidRPr="000C591B">
        <w:rPr>
          <w:lang w:val="en-US"/>
        </w:rPr>
        <w:t xml:space="preserve"> </w:t>
      </w:r>
    </w:p>
    <w:p w14:paraId="5885FCA5" w14:textId="77777777" w:rsidR="00077010" w:rsidRPr="00254C6F" w:rsidRDefault="00A265B8" w:rsidP="00077010">
      <w:pPr>
        <w:ind w:left="720"/>
        <w:jc w:val="left"/>
      </w:pPr>
      <w:r>
        <w:rPr>
          <w:lang w:val="en-US"/>
        </w:rPr>
        <w:t>18.3.2013</w:t>
      </w:r>
      <w:r w:rsidR="00077010">
        <w:rPr>
          <w:lang w:val="en-US"/>
        </w:rPr>
        <w:t xml:space="preserve">. </w:t>
      </w:r>
      <w:r w:rsidR="00077010" w:rsidRPr="00077010">
        <w:rPr>
          <w:i/>
          <w:lang w:val="en-US"/>
        </w:rPr>
        <w:t xml:space="preserve">Case of </w:t>
      </w:r>
      <w:proofErr w:type="spellStart"/>
      <w:r w:rsidR="00077010" w:rsidRPr="00077010">
        <w:rPr>
          <w:i/>
          <w:lang w:val="en-US"/>
        </w:rPr>
        <w:t>Çoşelav</w:t>
      </w:r>
      <w:proofErr w:type="spellEnd"/>
      <w:r w:rsidR="00077010" w:rsidRPr="00077010">
        <w:rPr>
          <w:i/>
          <w:lang w:val="en-US"/>
        </w:rPr>
        <w:t xml:space="preserve"> v. Turkey (Application no. 1413/07)</w:t>
      </w:r>
      <w:r w:rsidR="00077010">
        <w:rPr>
          <w:lang w:val="en-US"/>
        </w:rPr>
        <w:t xml:space="preserve">. </w:t>
      </w:r>
      <w:r w:rsidR="00254C6F" w:rsidRPr="00254C6F">
        <w:rPr>
          <w:lang w:val="en-US"/>
        </w:rPr>
        <w:t xml:space="preserve"> </w:t>
      </w:r>
      <w:hyperlink r:id="rId12" w:history="1">
        <w:r w:rsidR="00254C6F" w:rsidRPr="00254C6F">
          <w:rPr>
            <w:rStyle w:val="Hyperlinkki"/>
          </w:rPr>
          <w:t>https://hudoc.echr.coe.int/app/conversion/docx/?library=ECHR&amp;id=001-113767&amp;filename=CASE%20OF%20%C3%87O%C5%9EELAV%20v.%20TURKEY.docx&amp;logEvent=False</w:t>
        </w:r>
      </w:hyperlink>
      <w:r w:rsidR="00254C6F" w:rsidRPr="00254C6F">
        <w:t xml:space="preserve"> (kä</w:t>
      </w:r>
      <w:r w:rsidR="00254C6F">
        <w:t>yty 4.3.2024)</w:t>
      </w:r>
    </w:p>
    <w:p w14:paraId="273A3BCE" w14:textId="7FD8BCC1" w:rsidR="000C591B" w:rsidRDefault="000C591B" w:rsidP="00077010">
      <w:pPr>
        <w:ind w:left="720"/>
        <w:jc w:val="left"/>
      </w:pPr>
      <w:r w:rsidRPr="00084BA1">
        <w:t xml:space="preserve">11/2008. </w:t>
      </w:r>
      <w:proofErr w:type="spellStart"/>
      <w:r w:rsidRPr="0023576C">
        <w:rPr>
          <w:i/>
        </w:rPr>
        <w:t>Salduz</w:t>
      </w:r>
      <w:proofErr w:type="spellEnd"/>
      <w:r w:rsidRPr="0023576C">
        <w:rPr>
          <w:i/>
        </w:rPr>
        <w:t xml:space="preserve"> v. </w:t>
      </w:r>
      <w:proofErr w:type="spellStart"/>
      <w:r w:rsidRPr="0023576C">
        <w:rPr>
          <w:i/>
        </w:rPr>
        <w:t>Turkey</w:t>
      </w:r>
      <w:proofErr w:type="spellEnd"/>
      <w:r w:rsidRPr="0023576C">
        <w:rPr>
          <w:i/>
        </w:rPr>
        <w:t xml:space="preserve"> [GC] - 36391/02</w:t>
      </w:r>
      <w:r w:rsidRPr="0023576C">
        <w:t xml:space="preserve">. </w:t>
      </w:r>
      <w:hyperlink r:id="rId13" w:anchor="{%22itemid%22:[%22002-1842%22]}" w:history="1">
        <w:r w:rsidR="009751A5" w:rsidRPr="0023576C">
          <w:rPr>
            <w:rStyle w:val="Hyperlinkki"/>
          </w:rPr>
          <w:t>https://hudoc.echr.coe.int/eng#{%22itemid%22:[%22002-1842%22]}</w:t>
        </w:r>
      </w:hyperlink>
      <w:r w:rsidR="009751A5" w:rsidRPr="0023576C">
        <w:t xml:space="preserve"> (käyty 1.3.2024)</w:t>
      </w:r>
    </w:p>
    <w:p w14:paraId="38CE2FD9" w14:textId="50710C84" w:rsidR="006B48F4" w:rsidRPr="0023576C" w:rsidRDefault="006B48F4" w:rsidP="006B48F4">
      <w:pPr>
        <w:jc w:val="left"/>
      </w:pPr>
      <w:bookmarkStart w:id="18" w:name="_Hlk160799700"/>
      <w:r w:rsidRPr="006B48F4">
        <w:rPr>
          <w:lang w:val="en-US"/>
        </w:rPr>
        <w:t>HRFT 8/2023</w:t>
      </w:r>
      <w:bookmarkEnd w:id="18"/>
      <w:r w:rsidRPr="006B48F4">
        <w:rPr>
          <w:lang w:val="en-US"/>
        </w:rPr>
        <w:t xml:space="preserve">. Treatment and rehabilitation centers report 2022. </w:t>
      </w:r>
      <w:hyperlink r:id="rId14" w:history="1">
        <w:r w:rsidRPr="006B48F4">
          <w:rPr>
            <w:rStyle w:val="Hyperlinkki"/>
          </w:rPr>
          <w:t>https://en.tihv.org.tr/treatment-and-rehabilitation-reports/2022-treatment-centres-report/</w:t>
        </w:r>
      </w:hyperlink>
      <w:r w:rsidRPr="006B48F4">
        <w:t xml:space="preserve"> (käyty 8.3.2024) </w:t>
      </w:r>
    </w:p>
    <w:p w14:paraId="00151CF7" w14:textId="77777777" w:rsidR="00C37E46" w:rsidRPr="00C37E46" w:rsidRDefault="00C37E46" w:rsidP="00C37E46">
      <w:pPr>
        <w:jc w:val="left"/>
        <w:rPr>
          <w:lang w:val="en-US"/>
        </w:rPr>
      </w:pPr>
      <w:r w:rsidRPr="00C37E46">
        <w:rPr>
          <w:lang w:val="en-US"/>
        </w:rPr>
        <w:t xml:space="preserve">HRW </w:t>
      </w:r>
      <w:r>
        <w:rPr>
          <w:lang w:val="en-US"/>
        </w:rPr>
        <w:t xml:space="preserve">(Human Rights Watch) </w:t>
      </w:r>
      <w:r w:rsidRPr="00C37E46">
        <w:rPr>
          <w:lang w:val="en-US"/>
        </w:rPr>
        <w:t xml:space="preserve">2024. </w:t>
      </w:r>
      <w:proofErr w:type="spellStart"/>
      <w:r w:rsidRPr="00C37E46">
        <w:rPr>
          <w:i/>
          <w:lang w:val="en-US"/>
        </w:rPr>
        <w:t>Türkiye</w:t>
      </w:r>
      <w:proofErr w:type="spellEnd"/>
      <w:r w:rsidRPr="00C37E46">
        <w:rPr>
          <w:i/>
          <w:lang w:val="en-US"/>
        </w:rPr>
        <w:t xml:space="preserve">. Events of 2023. </w:t>
      </w:r>
      <w:hyperlink r:id="rId15" w:history="1">
        <w:r w:rsidRPr="00C37E46">
          <w:rPr>
            <w:rStyle w:val="Hyperlinkki"/>
            <w:lang w:val="en-US"/>
          </w:rPr>
          <w:t>https://www.hrw.org/world-report/2024/country-chapters/turkey</w:t>
        </w:r>
      </w:hyperlink>
      <w:r w:rsidRPr="00C37E46">
        <w:rPr>
          <w:lang w:val="en-US"/>
        </w:rPr>
        <w:t xml:space="preserve"> (</w:t>
      </w:r>
      <w:proofErr w:type="spellStart"/>
      <w:r w:rsidRPr="00C37E46">
        <w:rPr>
          <w:lang w:val="en-US"/>
        </w:rPr>
        <w:t>käyty</w:t>
      </w:r>
      <w:proofErr w:type="spellEnd"/>
      <w:r w:rsidRPr="00C37E46">
        <w:rPr>
          <w:lang w:val="en-US"/>
        </w:rPr>
        <w:t xml:space="preserve"> 1.3.2024)</w:t>
      </w:r>
    </w:p>
    <w:p w14:paraId="4504DC03" w14:textId="0D617AC2" w:rsidR="00A25DD9" w:rsidRDefault="00A25DD9" w:rsidP="00852DD4">
      <w:pPr>
        <w:jc w:val="left"/>
      </w:pPr>
      <w:r w:rsidRPr="00A25DD9">
        <w:rPr>
          <w:lang w:val="en-US"/>
        </w:rPr>
        <w:t xml:space="preserve">ICJ (International Commission of Jurists) 2018. </w:t>
      </w:r>
      <w:r w:rsidRPr="00A25DD9">
        <w:rPr>
          <w:i/>
          <w:lang w:val="en-US"/>
        </w:rPr>
        <w:t>Justice Suspended: Access to Justice and the State of Emergency in Turkey</w:t>
      </w:r>
      <w:r>
        <w:rPr>
          <w:lang w:val="en-US"/>
        </w:rPr>
        <w:t xml:space="preserve">. </w:t>
      </w:r>
      <w:hyperlink r:id="rId16" w:history="1">
        <w:r w:rsidRPr="00A25DD9">
          <w:rPr>
            <w:rStyle w:val="Hyperlinkki"/>
          </w:rPr>
          <w:t>https://www.icj.org/wp-content/uploads/2018/12/Turkey-Access-to-justice-Publications-Reports-2018-ENG.pdf</w:t>
        </w:r>
      </w:hyperlink>
      <w:r w:rsidRPr="00A25DD9">
        <w:t xml:space="preserve"> (kä</w:t>
      </w:r>
      <w:r>
        <w:t>yty 22.2.2024)</w:t>
      </w:r>
    </w:p>
    <w:p w14:paraId="6FAF1900" w14:textId="11A617F3" w:rsidR="009D2D0D" w:rsidRPr="00A25DD9" w:rsidRDefault="009D2D0D" w:rsidP="00852DD4">
      <w:pPr>
        <w:jc w:val="left"/>
      </w:pPr>
      <w:r w:rsidRPr="009D2D0D">
        <w:t xml:space="preserve">IHD 7/2023, s. 13. </w:t>
      </w:r>
      <w:proofErr w:type="spellStart"/>
      <w:r w:rsidRPr="009D2D0D">
        <w:rPr>
          <w:i/>
        </w:rPr>
        <w:t>Türkiye</w:t>
      </w:r>
      <w:proofErr w:type="spellEnd"/>
      <w:r w:rsidRPr="009D2D0D">
        <w:rPr>
          <w:i/>
        </w:rPr>
        <w:t xml:space="preserve"> </w:t>
      </w:r>
      <w:proofErr w:type="spellStart"/>
      <w:r w:rsidRPr="009D2D0D">
        <w:rPr>
          <w:i/>
        </w:rPr>
        <w:t>hapishanelerinde</w:t>
      </w:r>
      <w:proofErr w:type="spellEnd"/>
      <w:r w:rsidRPr="009D2D0D">
        <w:rPr>
          <w:i/>
        </w:rPr>
        <w:t xml:space="preserve"> </w:t>
      </w:r>
      <w:proofErr w:type="spellStart"/>
      <w:r w:rsidRPr="009D2D0D">
        <w:rPr>
          <w:i/>
        </w:rPr>
        <w:t>hak</w:t>
      </w:r>
      <w:proofErr w:type="spellEnd"/>
      <w:r w:rsidRPr="009D2D0D">
        <w:rPr>
          <w:i/>
        </w:rPr>
        <w:t xml:space="preserve"> </w:t>
      </w:r>
      <w:proofErr w:type="spellStart"/>
      <w:r w:rsidRPr="009D2D0D">
        <w:rPr>
          <w:i/>
        </w:rPr>
        <w:t>izleme</w:t>
      </w:r>
      <w:proofErr w:type="spellEnd"/>
      <w:r w:rsidRPr="009D2D0D">
        <w:rPr>
          <w:i/>
        </w:rPr>
        <w:t xml:space="preserve"> </w:t>
      </w:r>
      <w:proofErr w:type="spellStart"/>
      <w:r w:rsidRPr="009D2D0D">
        <w:rPr>
          <w:i/>
        </w:rPr>
        <w:t>raporu</w:t>
      </w:r>
      <w:proofErr w:type="spellEnd"/>
      <w:r w:rsidRPr="009D2D0D">
        <w:t xml:space="preserve">. </w:t>
      </w:r>
      <w:hyperlink r:id="rId17" w:history="1">
        <w:r w:rsidRPr="009D2D0D">
          <w:rPr>
            <w:rStyle w:val="Hyperlinkki"/>
          </w:rPr>
          <w:t>https://www.ihd.org.tr/wp-content/uploads/2023/07/2022-Hapishane-Raporu-1.pdf</w:t>
        </w:r>
      </w:hyperlink>
      <w:r w:rsidRPr="009D2D0D">
        <w:t xml:space="preserve"> (käyty 8.3.2024)</w:t>
      </w:r>
    </w:p>
    <w:p w14:paraId="66794657" w14:textId="77777777" w:rsidR="008B23D2" w:rsidRDefault="008B23D2" w:rsidP="008B23D2">
      <w:pPr>
        <w:jc w:val="left"/>
      </w:pPr>
      <w:r w:rsidRPr="008B23D2">
        <w:rPr>
          <w:lang w:val="en-US"/>
        </w:rPr>
        <w:t>E</w:t>
      </w:r>
      <w:r>
        <w:rPr>
          <w:lang w:val="en-US"/>
        </w:rPr>
        <w:t xml:space="preserve">uropean </w:t>
      </w:r>
      <w:r w:rsidRPr="008B23D2">
        <w:rPr>
          <w:lang w:val="en-US"/>
        </w:rPr>
        <w:t>C</w:t>
      </w:r>
      <w:r>
        <w:rPr>
          <w:lang w:val="en-US"/>
        </w:rPr>
        <w:t>ommission for</w:t>
      </w:r>
      <w:r w:rsidRPr="008B23D2">
        <w:rPr>
          <w:lang w:val="en-US"/>
        </w:rPr>
        <w:t xml:space="preserve"> D</w:t>
      </w:r>
      <w:r>
        <w:rPr>
          <w:lang w:val="en-US"/>
        </w:rPr>
        <w:t>emocracy Through Law (Venice Commission</w:t>
      </w:r>
      <w:r w:rsidRPr="008B23D2">
        <w:rPr>
          <w:lang w:val="en-US"/>
        </w:rPr>
        <w:t xml:space="preserve">) </w:t>
      </w:r>
      <w:r w:rsidR="001B7B9C" w:rsidRPr="008B23D2">
        <w:rPr>
          <w:lang w:val="en-US"/>
        </w:rPr>
        <w:t xml:space="preserve">24.2.2017. </w:t>
      </w:r>
      <w:r w:rsidRPr="001B7B9C">
        <w:rPr>
          <w:i/>
          <w:lang w:val="en-US"/>
        </w:rPr>
        <w:t>Turkey. Draft Opinion on the duties, competences and functioning of the criminal peace judgeships</w:t>
      </w:r>
      <w:r>
        <w:rPr>
          <w:lang w:val="en-US"/>
        </w:rPr>
        <w:t xml:space="preserve">. </w:t>
      </w:r>
      <w:proofErr w:type="gramStart"/>
      <w:r w:rsidR="001B7B9C" w:rsidRPr="00CE20C6">
        <w:t>CDL(</w:t>
      </w:r>
      <w:proofErr w:type="gramEnd"/>
      <w:r w:rsidR="001B7B9C" w:rsidRPr="00CE20C6">
        <w:t xml:space="preserve">2017)005. </w:t>
      </w:r>
      <w:hyperlink r:id="rId18" w:history="1">
        <w:r w:rsidR="001B7B9C" w:rsidRPr="001B7B9C">
          <w:rPr>
            <w:rStyle w:val="Hyperlinkki"/>
          </w:rPr>
          <w:t>https://www.venice.coe.int/webforms/documents/default.aspx?pdffile=CDL(2017)005-e</w:t>
        </w:r>
      </w:hyperlink>
      <w:r w:rsidR="001B7B9C" w:rsidRPr="001B7B9C">
        <w:t xml:space="preserve"> (kä</w:t>
      </w:r>
      <w:r w:rsidR="001B7B9C">
        <w:t>yty 21.2.2024)</w:t>
      </w:r>
    </w:p>
    <w:p w14:paraId="558C6A9F" w14:textId="77777777" w:rsidR="00762A49" w:rsidRDefault="00762A49" w:rsidP="008B23D2">
      <w:pPr>
        <w:jc w:val="left"/>
        <w:rPr>
          <w:lang w:val="en-US"/>
        </w:rPr>
      </w:pPr>
      <w:proofErr w:type="spellStart"/>
      <w:r w:rsidRPr="00762A49">
        <w:rPr>
          <w:lang w:val="en-US"/>
        </w:rPr>
        <w:t>Lemonde</w:t>
      </w:r>
      <w:proofErr w:type="spellEnd"/>
      <w:r w:rsidRPr="00762A49">
        <w:rPr>
          <w:lang w:val="en-US"/>
        </w:rPr>
        <w:t>, Marcel 201</w:t>
      </w:r>
      <w:r>
        <w:rPr>
          <w:lang w:val="en-US"/>
        </w:rPr>
        <w:t>4</w:t>
      </w:r>
      <w:r w:rsidRPr="00762A49">
        <w:rPr>
          <w:lang w:val="en-US"/>
        </w:rPr>
        <w:t xml:space="preserve">. </w:t>
      </w:r>
      <w:r w:rsidRPr="00762A49">
        <w:rPr>
          <w:i/>
          <w:lang w:val="en-US"/>
        </w:rPr>
        <w:t>Needs assessment report and recommendations of action for Turkish criminal justice system</w:t>
      </w:r>
      <w:r>
        <w:rPr>
          <w:lang w:val="en-US"/>
        </w:rPr>
        <w:t xml:space="preserve">. </w:t>
      </w:r>
      <w:hyperlink r:id="rId19" w:history="1">
        <w:r w:rsidRPr="007C386F">
          <w:rPr>
            <w:rStyle w:val="Hyperlinkki"/>
            <w:lang w:val="en-US"/>
          </w:rPr>
          <w:t>https://rm.coe.int/16806f234c</w:t>
        </w:r>
      </w:hyperlink>
      <w:r>
        <w:rPr>
          <w:lang w:val="en-US"/>
        </w:rPr>
        <w:t xml:space="preserve"> (</w:t>
      </w:r>
      <w:proofErr w:type="spellStart"/>
      <w:r>
        <w:rPr>
          <w:lang w:val="en-US"/>
        </w:rPr>
        <w:t>käyty</w:t>
      </w:r>
      <w:proofErr w:type="spellEnd"/>
      <w:r>
        <w:rPr>
          <w:lang w:val="en-US"/>
        </w:rPr>
        <w:t xml:space="preserve"> 22.2.2024)</w:t>
      </w:r>
    </w:p>
    <w:p w14:paraId="06E328A3" w14:textId="77777777" w:rsidR="00E75A8A" w:rsidRPr="00E75A8A" w:rsidRDefault="00E75A8A" w:rsidP="008B23D2">
      <w:pPr>
        <w:jc w:val="left"/>
      </w:pPr>
      <w:r w:rsidRPr="00E75A8A">
        <w:rPr>
          <w:lang w:val="en-US"/>
        </w:rPr>
        <w:lastRenderedPageBreak/>
        <w:t>Morning Star 1.12.2019.</w:t>
      </w:r>
      <w:r>
        <w:rPr>
          <w:lang w:val="en-US"/>
        </w:rPr>
        <w:t xml:space="preserve"> </w:t>
      </w:r>
      <w:r w:rsidRPr="00E75A8A">
        <w:rPr>
          <w:i/>
          <w:lang w:val="en-US"/>
        </w:rPr>
        <w:t>Women are being tortured in Turkey's prisons, opposition MP warns</w:t>
      </w:r>
      <w:r>
        <w:rPr>
          <w:lang w:val="en-US"/>
        </w:rPr>
        <w:t xml:space="preserve">. </w:t>
      </w:r>
      <w:hyperlink r:id="rId20" w:history="1">
        <w:r w:rsidRPr="00E75A8A">
          <w:rPr>
            <w:rStyle w:val="Hyperlinkki"/>
          </w:rPr>
          <w:t>https://morningstaronline.co.uk/article/w/women-are-being-tortured-in-turkey-prisons-opposition-mp-warns</w:t>
        </w:r>
      </w:hyperlink>
      <w:r w:rsidRPr="00E75A8A">
        <w:t xml:space="preserve"> (kä</w:t>
      </w:r>
      <w:r>
        <w:t>yty 6.3.2024)</w:t>
      </w:r>
    </w:p>
    <w:p w14:paraId="539AA4A5" w14:textId="77777777" w:rsidR="00F30C35" w:rsidRDefault="00C71280" w:rsidP="008B23D2">
      <w:pPr>
        <w:jc w:val="left"/>
        <w:rPr>
          <w:lang w:val="en-US"/>
        </w:rPr>
      </w:pPr>
      <w:r w:rsidRPr="00C71280">
        <w:rPr>
          <w:lang w:val="en-US"/>
        </w:rPr>
        <w:t xml:space="preserve">SCF </w:t>
      </w:r>
      <w:r>
        <w:rPr>
          <w:lang w:val="en-US"/>
        </w:rPr>
        <w:t xml:space="preserve">(Stockholm Center for Freedom) </w:t>
      </w:r>
    </w:p>
    <w:p w14:paraId="6EAB26F4" w14:textId="77777777" w:rsidR="00C71280" w:rsidRDefault="00C71280" w:rsidP="00F30C35">
      <w:pPr>
        <w:ind w:left="720"/>
        <w:jc w:val="left"/>
      </w:pPr>
      <w:r w:rsidRPr="00C71280">
        <w:rPr>
          <w:lang w:val="en-US"/>
        </w:rPr>
        <w:t>24.5.2023.</w:t>
      </w:r>
      <w:r>
        <w:rPr>
          <w:lang w:val="en-US"/>
        </w:rPr>
        <w:t xml:space="preserve"> </w:t>
      </w:r>
      <w:r w:rsidRPr="00C71280">
        <w:rPr>
          <w:i/>
          <w:lang w:val="en-US"/>
        </w:rPr>
        <w:t>Turkish prisons at 18 percent overcapacity: report.</w:t>
      </w:r>
      <w:r>
        <w:rPr>
          <w:lang w:val="en-US"/>
        </w:rPr>
        <w:t xml:space="preserve"> </w:t>
      </w:r>
      <w:hyperlink r:id="rId21" w:history="1">
        <w:r w:rsidRPr="00C71280">
          <w:rPr>
            <w:rStyle w:val="Hyperlinkki"/>
          </w:rPr>
          <w:t>https://stockholmcf.org/turkish-prisons-at-18-percent-overcapacity-report/</w:t>
        </w:r>
      </w:hyperlink>
      <w:r w:rsidRPr="00C71280">
        <w:t xml:space="preserve"> (käyty 1.3.2024)</w:t>
      </w:r>
    </w:p>
    <w:p w14:paraId="370256C0" w14:textId="77777777" w:rsidR="00F30C35" w:rsidRDefault="00F30C35" w:rsidP="00F30C35">
      <w:pPr>
        <w:ind w:left="720"/>
        <w:jc w:val="left"/>
      </w:pPr>
      <w:r w:rsidRPr="00F30C35">
        <w:rPr>
          <w:lang w:val="en-US"/>
        </w:rPr>
        <w:t xml:space="preserve">6.1.2022. </w:t>
      </w:r>
      <w:r w:rsidRPr="00F30C35">
        <w:rPr>
          <w:i/>
          <w:lang w:val="en-US"/>
        </w:rPr>
        <w:t>Torture and Inhuman Treatment in Turkey: 2021 in Review</w:t>
      </w:r>
      <w:r w:rsidRPr="00F30C35">
        <w:rPr>
          <w:lang w:val="en-US"/>
        </w:rPr>
        <w:t xml:space="preserve">. </w:t>
      </w:r>
      <w:hyperlink r:id="rId22" w:history="1">
        <w:r w:rsidRPr="00F30C35">
          <w:rPr>
            <w:rStyle w:val="Hyperlinkki"/>
          </w:rPr>
          <w:t>https://stockholmcf.org/torture-and-inhuman-treatment-in-turkey-2021-in-review/</w:t>
        </w:r>
      </w:hyperlink>
      <w:r w:rsidRPr="00F30C35">
        <w:t xml:space="preserve"> (käyty 4.3.2024)</w:t>
      </w:r>
    </w:p>
    <w:p w14:paraId="6FC6E42E" w14:textId="77777777" w:rsidR="003A4004" w:rsidRPr="008969C5" w:rsidRDefault="003A4004" w:rsidP="00F30C35">
      <w:pPr>
        <w:ind w:left="720"/>
        <w:jc w:val="left"/>
      </w:pPr>
      <w:r w:rsidRPr="003A4004">
        <w:rPr>
          <w:lang w:val="en-US"/>
        </w:rPr>
        <w:t xml:space="preserve">11.5.2020. </w:t>
      </w:r>
      <w:r w:rsidRPr="003A4004">
        <w:rPr>
          <w:i/>
          <w:lang w:val="en-US"/>
        </w:rPr>
        <w:t>Nordic Monitor reveals content of censored Council of Europe torture report on Turkey</w:t>
      </w:r>
      <w:r w:rsidRPr="003A4004">
        <w:rPr>
          <w:lang w:val="en-US"/>
        </w:rPr>
        <w:t xml:space="preserve">. </w:t>
      </w:r>
      <w:hyperlink r:id="rId23" w:history="1">
        <w:r w:rsidRPr="008969C5">
          <w:rPr>
            <w:rStyle w:val="Hyperlinkki"/>
          </w:rPr>
          <w:t>https://stockholmcf.org/nordic-monitor-reveals-content-of-censored-council-of-europe-torture-report-on-turkey/</w:t>
        </w:r>
      </w:hyperlink>
      <w:r w:rsidRPr="008969C5">
        <w:t xml:space="preserve"> (6.3.2024)</w:t>
      </w:r>
    </w:p>
    <w:p w14:paraId="3C2CB026" w14:textId="77777777" w:rsidR="00A25DD9" w:rsidRDefault="00A25DD9" w:rsidP="00A25DD9">
      <w:pPr>
        <w:jc w:val="left"/>
      </w:pPr>
      <w:proofErr w:type="spellStart"/>
      <w:r w:rsidRPr="00852DD4">
        <w:rPr>
          <w:lang w:val="en-US"/>
        </w:rPr>
        <w:t>Türkiye</w:t>
      </w:r>
      <w:proofErr w:type="spellEnd"/>
      <w:r w:rsidRPr="00852DD4">
        <w:rPr>
          <w:lang w:val="en-US"/>
        </w:rPr>
        <w:t xml:space="preserve"> 2005. </w:t>
      </w:r>
      <w:r w:rsidRPr="00852DD4">
        <w:rPr>
          <w:i/>
          <w:lang w:val="en-US"/>
        </w:rPr>
        <w:t>Turkish Criminal Procedure Code</w:t>
      </w:r>
      <w:r w:rsidRPr="00852DD4">
        <w:rPr>
          <w:lang w:val="en-US"/>
        </w:rPr>
        <w:t>.</w:t>
      </w:r>
      <w:r>
        <w:rPr>
          <w:lang w:val="en-US"/>
        </w:rPr>
        <w:t xml:space="preserve"> </w:t>
      </w:r>
      <w:hyperlink r:id="rId24" w:history="1">
        <w:r w:rsidRPr="00852DD4">
          <w:rPr>
            <w:rStyle w:val="Hyperlinkki"/>
          </w:rPr>
          <w:t>https://sherloc.unodc.org/cld/document/tur/2005/turkish_criminal_procedure_code.html</w:t>
        </w:r>
      </w:hyperlink>
      <w:r w:rsidRPr="00852DD4">
        <w:t xml:space="preserve"> (kä</w:t>
      </w:r>
      <w:r>
        <w:t>yty 21.2.2024)</w:t>
      </w:r>
    </w:p>
    <w:p w14:paraId="196E69F7" w14:textId="77777777" w:rsidR="00535AB6" w:rsidRDefault="00535AB6" w:rsidP="008B23D2">
      <w:pPr>
        <w:jc w:val="left"/>
      </w:pPr>
      <w:r w:rsidRPr="00535AB6">
        <w:rPr>
          <w:lang w:val="en-US"/>
        </w:rPr>
        <w:t xml:space="preserve">USDOS 20.3.2023. </w:t>
      </w:r>
      <w:r w:rsidRPr="00535AB6">
        <w:rPr>
          <w:i/>
          <w:lang w:val="en-US"/>
        </w:rPr>
        <w:t>2022 Country Reports on Human Rights Practices: Turkey (</w:t>
      </w:r>
      <w:proofErr w:type="spellStart"/>
      <w:r w:rsidRPr="00535AB6">
        <w:rPr>
          <w:i/>
          <w:lang w:val="en-US"/>
        </w:rPr>
        <w:t>Türkiye</w:t>
      </w:r>
      <w:proofErr w:type="spellEnd"/>
      <w:r w:rsidRPr="00535AB6">
        <w:rPr>
          <w:i/>
          <w:lang w:val="en-US"/>
        </w:rPr>
        <w:t>)</w:t>
      </w:r>
      <w:r>
        <w:rPr>
          <w:lang w:val="en-US"/>
        </w:rPr>
        <w:t xml:space="preserve">. </w:t>
      </w:r>
      <w:hyperlink r:id="rId25" w:history="1">
        <w:r w:rsidRPr="00535AB6">
          <w:rPr>
            <w:rStyle w:val="Hyperlinkki"/>
          </w:rPr>
          <w:t>https://www.state.gov/reports/2022-country-reports-on-human-rights-practices/turkey/</w:t>
        </w:r>
      </w:hyperlink>
      <w:r w:rsidRPr="00535AB6">
        <w:t xml:space="preserve"> (kä</w:t>
      </w:r>
      <w:r>
        <w:t>yty 21.2.2024)</w:t>
      </w:r>
    </w:p>
    <w:p w14:paraId="3BE3D922" w14:textId="77777777" w:rsidR="00082DFE" w:rsidRPr="001D5CAA" w:rsidRDefault="00192FA7" w:rsidP="00082DFE">
      <w:pPr>
        <w:pStyle w:val="LeiptekstiMigri"/>
        <w:ind w:left="0"/>
        <w:rPr>
          <w:lang w:val="en-GB"/>
        </w:rPr>
      </w:pPr>
      <w:r>
        <w:rPr>
          <w:b/>
        </w:rPr>
        <w:pict w14:anchorId="713541CD">
          <v:rect id="_x0000_i1029" style="width:0;height:1.5pt" o:hralign="center" o:hrstd="t" o:hr="t" fillcolor="#a0a0a0" stroked="f"/>
        </w:pict>
      </w:r>
    </w:p>
    <w:p w14:paraId="2F0DD43B" w14:textId="77777777" w:rsidR="00082DFE" w:rsidRDefault="001D63F6" w:rsidP="00810134">
      <w:pPr>
        <w:pStyle w:val="Numeroimatonotsikko"/>
      </w:pPr>
      <w:r>
        <w:t>Tietoja vastauksesta</w:t>
      </w:r>
    </w:p>
    <w:p w14:paraId="40939DF8" w14:textId="77777777" w:rsidR="001678AD" w:rsidRPr="00A35BCB" w:rsidRDefault="00A35BCB" w:rsidP="00A35BCB">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w:t>
      </w:r>
      <w:r w:rsidRPr="00873A37">
        <w:t>kiistattomia</w:t>
      </w:r>
      <w:r w:rsidRPr="00A35BCB">
        <w:t xml:space="preserve">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A201852" w14:textId="77777777" w:rsidR="001D63F6" w:rsidRPr="00BC367A" w:rsidRDefault="001D63F6" w:rsidP="00810134">
      <w:pPr>
        <w:pStyle w:val="Numeroimatonotsikko"/>
        <w:rPr>
          <w:lang w:val="en-GB"/>
        </w:rPr>
      </w:pPr>
      <w:r w:rsidRPr="00BC367A">
        <w:rPr>
          <w:lang w:val="en-GB"/>
        </w:rPr>
        <w:t>Information on the response</w:t>
      </w:r>
    </w:p>
    <w:p w14:paraId="3C51EAD7" w14:textId="77777777" w:rsidR="00A35BCB" w:rsidRPr="00A35BCB" w:rsidRDefault="00A35BCB" w:rsidP="00A35BCB">
      <w:pPr>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w:t>
      </w:r>
      <w:r w:rsidRPr="00A35BCB">
        <w:rPr>
          <w:lang w:val="en-GB"/>
        </w:rPr>
        <w:lastRenderedPageBreak/>
        <w:t>opinion of the Finnish Immigration Service, and it is not a political statement or a judicial evaluation.</w:t>
      </w:r>
    </w:p>
    <w:p w14:paraId="2DAB070F" w14:textId="77777777" w:rsidR="00B112B8" w:rsidRPr="00A35BCB" w:rsidRDefault="00B112B8" w:rsidP="00A35BCB">
      <w:pPr>
        <w:rPr>
          <w:lang w:val="en-GB"/>
        </w:rPr>
      </w:pPr>
    </w:p>
    <w:sectPr w:rsidR="00B112B8" w:rsidRPr="00A35BCB" w:rsidSect="00072438">
      <w:headerReference w:type="default" r:id="rId26"/>
      <w:headerReference w:type="first" r:id="rId27"/>
      <w:footerReference w:type="first" r:id="rId2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33BD0" w14:textId="77777777" w:rsidR="006B48F4" w:rsidRDefault="006B48F4" w:rsidP="007E0069">
      <w:pPr>
        <w:spacing w:after="0" w:line="240" w:lineRule="auto"/>
      </w:pPr>
      <w:r>
        <w:separator/>
      </w:r>
    </w:p>
  </w:endnote>
  <w:endnote w:type="continuationSeparator" w:id="0">
    <w:p w14:paraId="79B2B9ED" w14:textId="77777777" w:rsidR="006B48F4" w:rsidRDefault="006B48F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6191" w14:textId="77777777" w:rsidR="006B48F4" w:rsidRDefault="006B48F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6B48F4" w:rsidRPr="00A83D54" w14:paraId="74B9A345" w14:textId="77777777" w:rsidTr="00483E37">
      <w:trPr>
        <w:trHeight w:val="189"/>
      </w:trPr>
      <w:tc>
        <w:tcPr>
          <w:tcW w:w="1560" w:type="dxa"/>
        </w:tcPr>
        <w:p w14:paraId="195AE7EC" w14:textId="77777777" w:rsidR="006B48F4" w:rsidRPr="00A83D54" w:rsidRDefault="006B48F4" w:rsidP="00337E76">
          <w:pPr>
            <w:pStyle w:val="Alatunniste"/>
            <w:rPr>
              <w:sz w:val="14"/>
              <w:szCs w:val="14"/>
            </w:rPr>
          </w:pPr>
        </w:p>
      </w:tc>
      <w:tc>
        <w:tcPr>
          <w:tcW w:w="2551" w:type="dxa"/>
        </w:tcPr>
        <w:p w14:paraId="4F80001B" w14:textId="77777777" w:rsidR="006B48F4" w:rsidRPr="00A83D54" w:rsidRDefault="006B48F4" w:rsidP="00337E76">
          <w:pPr>
            <w:pStyle w:val="Alatunniste"/>
            <w:rPr>
              <w:sz w:val="14"/>
              <w:szCs w:val="14"/>
            </w:rPr>
          </w:pPr>
        </w:p>
      </w:tc>
      <w:tc>
        <w:tcPr>
          <w:tcW w:w="2552" w:type="dxa"/>
        </w:tcPr>
        <w:p w14:paraId="7C90EE90" w14:textId="77777777" w:rsidR="006B48F4" w:rsidRPr="00A83D54" w:rsidRDefault="006B48F4" w:rsidP="00337E76">
          <w:pPr>
            <w:pStyle w:val="Alatunniste"/>
            <w:rPr>
              <w:sz w:val="14"/>
              <w:szCs w:val="14"/>
            </w:rPr>
          </w:pPr>
        </w:p>
      </w:tc>
      <w:tc>
        <w:tcPr>
          <w:tcW w:w="2830" w:type="dxa"/>
        </w:tcPr>
        <w:p w14:paraId="5F1CF396" w14:textId="77777777" w:rsidR="006B48F4" w:rsidRPr="00A83D54" w:rsidRDefault="006B48F4" w:rsidP="00337E76">
          <w:pPr>
            <w:pStyle w:val="Alatunniste"/>
            <w:rPr>
              <w:sz w:val="14"/>
              <w:szCs w:val="14"/>
            </w:rPr>
          </w:pPr>
        </w:p>
      </w:tc>
    </w:tr>
    <w:tr w:rsidR="006B48F4" w:rsidRPr="00A83D54" w14:paraId="5E60E2DA" w14:textId="77777777" w:rsidTr="00483E37">
      <w:trPr>
        <w:trHeight w:val="189"/>
      </w:trPr>
      <w:tc>
        <w:tcPr>
          <w:tcW w:w="1560" w:type="dxa"/>
        </w:tcPr>
        <w:p w14:paraId="10B98FD8" w14:textId="77777777" w:rsidR="006B48F4" w:rsidRPr="00A83D54" w:rsidRDefault="006B48F4" w:rsidP="00337E76">
          <w:pPr>
            <w:pStyle w:val="Alatunniste"/>
            <w:rPr>
              <w:sz w:val="14"/>
              <w:szCs w:val="14"/>
            </w:rPr>
          </w:pPr>
        </w:p>
      </w:tc>
      <w:tc>
        <w:tcPr>
          <w:tcW w:w="2551" w:type="dxa"/>
        </w:tcPr>
        <w:p w14:paraId="39D01C06" w14:textId="77777777" w:rsidR="006B48F4" w:rsidRPr="00A83D54" w:rsidRDefault="006B48F4" w:rsidP="00337E76">
          <w:pPr>
            <w:pStyle w:val="Alatunniste"/>
            <w:rPr>
              <w:sz w:val="14"/>
              <w:szCs w:val="14"/>
            </w:rPr>
          </w:pPr>
        </w:p>
      </w:tc>
      <w:tc>
        <w:tcPr>
          <w:tcW w:w="2552" w:type="dxa"/>
        </w:tcPr>
        <w:p w14:paraId="7FCFE1C0" w14:textId="77777777" w:rsidR="006B48F4" w:rsidRPr="00A83D54" w:rsidRDefault="006B48F4" w:rsidP="00337E76">
          <w:pPr>
            <w:pStyle w:val="Alatunniste"/>
            <w:rPr>
              <w:sz w:val="14"/>
              <w:szCs w:val="14"/>
            </w:rPr>
          </w:pPr>
        </w:p>
      </w:tc>
      <w:tc>
        <w:tcPr>
          <w:tcW w:w="2830" w:type="dxa"/>
        </w:tcPr>
        <w:p w14:paraId="65147F34" w14:textId="77777777" w:rsidR="006B48F4" w:rsidRPr="00A83D54" w:rsidRDefault="006B48F4" w:rsidP="00337E76">
          <w:pPr>
            <w:pStyle w:val="Alatunniste"/>
            <w:rPr>
              <w:sz w:val="14"/>
              <w:szCs w:val="14"/>
            </w:rPr>
          </w:pPr>
        </w:p>
      </w:tc>
    </w:tr>
    <w:tr w:rsidR="006B48F4" w:rsidRPr="00A83D54" w14:paraId="6C5C8CFF" w14:textId="77777777" w:rsidTr="00483E37">
      <w:trPr>
        <w:trHeight w:val="189"/>
      </w:trPr>
      <w:tc>
        <w:tcPr>
          <w:tcW w:w="1560" w:type="dxa"/>
        </w:tcPr>
        <w:p w14:paraId="45EBB3CA" w14:textId="77777777" w:rsidR="006B48F4" w:rsidRPr="00A83D54" w:rsidRDefault="006B48F4" w:rsidP="00337E76">
          <w:pPr>
            <w:pStyle w:val="Alatunniste"/>
            <w:rPr>
              <w:sz w:val="14"/>
              <w:szCs w:val="14"/>
            </w:rPr>
          </w:pPr>
        </w:p>
      </w:tc>
      <w:tc>
        <w:tcPr>
          <w:tcW w:w="2551" w:type="dxa"/>
        </w:tcPr>
        <w:p w14:paraId="7E5D2A1D" w14:textId="77777777" w:rsidR="006B48F4" w:rsidRPr="00A83D54" w:rsidRDefault="006B48F4" w:rsidP="00337E76">
          <w:pPr>
            <w:pStyle w:val="Alatunniste"/>
            <w:rPr>
              <w:sz w:val="14"/>
              <w:szCs w:val="14"/>
            </w:rPr>
          </w:pPr>
        </w:p>
      </w:tc>
      <w:tc>
        <w:tcPr>
          <w:tcW w:w="2552" w:type="dxa"/>
        </w:tcPr>
        <w:p w14:paraId="5725A3A7" w14:textId="77777777" w:rsidR="006B48F4" w:rsidRPr="00A83D54" w:rsidRDefault="006B48F4" w:rsidP="00337E76">
          <w:pPr>
            <w:pStyle w:val="Alatunniste"/>
            <w:rPr>
              <w:sz w:val="14"/>
              <w:szCs w:val="14"/>
            </w:rPr>
          </w:pPr>
        </w:p>
      </w:tc>
      <w:tc>
        <w:tcPr>
          <w:tcW w:w="2830" w:type="dxa"/>
        </w:tcPr>
        <w:p w14:paraId="5A042717" w14:textId="77777777" w:rsidR="006B48F4" w:rsidRPr="00A83D54" w:rsidRDefault="006B48F4" w:rsidP="00337E76">
          <w:pPr>
            <w:pStyle w:val="Alatunniste"/>
            <w:rPr>
              <w:sz w:val="14"/>
              <w:szCs w:val="14"/>
            </w:rPr>
          </w:pPr>
        </w:p>
      </w:tc>
    </w:tr>
  </w:tbl>
  <w:p w14:paraId="359A0534" w14:textId="77777777" w:rsidR="006B48F4" w:rsidRDefault="006B48F4">
    <w:pPr>
      <w:pStyle w:val="Alatunniste"/>
    </w:pPr>
    <w:r w:rsidRPr="00A83D54">
      <w:rPr>
        <w:noProof/>
        <w:sz w:val="14"/>
        <w:szCs w:val="14"/>
        <w:lang w:eastAsia="fi-FI"/>
      </w:rPr>
      <w:drawing>
        <wp:anchor distT="0" distB="0" distL="114300" distR="114300" simplePos="0" relativeHeight="251667456" behindDoc="0" locked="0" layoutInCell="1" allowOverlap="1" wp14:anchorId="3931F3D7" wp14:editId="4C64458A">
          <wp:simplePos x="0" y="0"/>
          <wp:positionH relativeFrom="column">
            <wp:posOffset>-3810</wp:posOffset>
          </wp:positionH>
          <wp:positionV relativeFrom="paragraph">
            <wp:posOffset>-626745</wp:posOffset>
          </wp:positionV>
          <wp:extent cx="648335" cy="286385"/>
          <wp:effectExtent l="0" t="0" r="0" b="0"/>
          <wp:wrapNone/>
          <wp:docPr id="21"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70C66B63" w14:textId="77777777" w:rsidR="006B48F4" w:rsidRDefault="006B48F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674E7" w14:textId="77777777" w:rsidR="006B48F4" w:rsidRDefault="006B48F4" w:rsidP="007E0069">
      <w:pPr>
        <w:spacing w:after="0" w:line="240" w:lineRule="auto"/>
      </w:pPr>
      <w:r>
        <w:separator/>
      </w:r>
    </w:p>
  </w:footnote>
  <w:footnote w:type="continuationSeparator" w:id="0">
    <w:p w14:paraId="0D02170C" w14:textId="77777777" w:rsidR="006B48F4" w:rsidRDefault="006B48F4" w:rsidP="007E0069">
      <w:pPr>
        <w:spacing w:after="0" w:line="240" w:lineRule="auto"/>
      </w:pPr>
      <w:r>
        <w:continuationSeparator/>
      </w:r>
    </w:p>
  </w:footnote>
  <w:footnote w:id="1">
    <w:p w14:paraId="3DCC8F15" w14:textId="77777777" w:rsidR="006B48F4" w:rsidRPr="002C644F" w:rsidRDefault="006B48F4" w:rsidP="004B0943">
      <w:pPr>
        <w:pStyle w:val="Alaviitteenteksti"/>
        <w:jc w:val="left"/>
        <w:rPr>
          <w:lang w:val="en-US"/>
        </w:rPr>
      </w:pPr>
      <w:r>
        <w:rPr>
          <w:rStyle w:val="Alaviitteenviite"/>
        </w:rPr>
        <w:footnoteRef/>
      </w:r>
      <w:r w:rsidRPr="00852DD4">
        <w:rPr>
          <w:lang w:val="en-US"/>
        </w:rPr>
        <w:t xml:space="preserve"> </w:t>
      </w:r>
      <w:bookmarkStart w:id="5" w:name="_Hlk159402159"/>
      <w:r>
        <w:rPr>
          <w:lang w:val="en-US"/>
        </w:rPr>
        <w:t>Turkish Penal Procedure Code no. 5271,</w:t>
      </w:r>
      <w:r w:rsidRPr="00852DD4">
        <w:rPr>
          <w:lang w:val="en-US"/>
        </w:rPr>
        <w:t xml:space="preserve"> </w:t>
      </w:r>
      <w:r>
        <w:rPr>
          <w:lang w:val="en-US"/>
        </w:rPr>
        <w:t>1.6.</w:t>
      </w:r>
      <w:r w:rsidRPr="00852DD4">
        <w:rPr>
          <w:lang w:val="en-US"/>
        </w:rPr>
        <w:t>2005</w:t>
      </w:r>
      <w:r>
        <w:rPr>
          <w:lang w:val="en-US"/>
        </w:rPr>
        <w:t>, s. 165–166</w:t>
      </w:r>
      <w:r w:rsidRPr="00852DD4">
        <w:rPr>
          <w:lang w:val="en-US"/>
        </w:rPr>
        <w:t xml:space="preserve">. </w:t>
      </w:r>
      <w:bookmarkEnd w:id="5"/>
    </w:p>
  </w:footnote>
  <w:footnote w:id="2">
    <w:p w14:paraId="6B99EB33" w14:textId="77777777" w:rsidR="006B48F4" w:rsidRPr="00BF7819" w:rsidRDefault="006B48F4" w:rsidP="00650DD6">
      <w:pPr>
        <w:pStyle w:val="Alaviitteenteksti"/>
        <w:rPr>
          <w:lang w:val="en-US"/>
        </w:rPr>
      </w:pPr>
      <w:r>
        <w:rPr>
          <w:rStyle w:val="Alaviitteenviite"/>
        </w:rPr>
        <w:footnoteRef/>
      </w:r>
      <w:r w:rsidRPr="00BF7819">
        <w:rPr>
          <w:lang w:val="en-US"/>
        </w:rPr>
        <w:t xml:space="preserve"> </w:t>
      </w:r>
      <w:r>
        <w:rPr>
          <w:lang w:val="en-US"/>
        </w:rPr>
        <w:t xml:space="preserve">ECHR 11/2008. </w:t>
      </w:r>
      <w:r w:rsidRPr="000C591B">
        <w:rPr>
          <w:lang w:val="en-US"/>
        </w:rPr>
        <w:t>Salduz v. Turkey [GC] - 36391/02</w:t>
      </w:r>
      <w:r>
        <w:rPr>
          <w:lang w:val="en-US"/>
        </w:rPr>
        <w:t xml:space="preserve">.  </w:t>
      </w:r>
      <w:r w:rsidRPr="00BF7819">
        <w:rPr>
          <w:lang w:val="en-US"/>
        </w:rPr>
        <w:t xml:space="preserve"> </w:t>
      </w:r>
    </w:p>
  </w:footnote>
  <w:footnote w:id="3">
    <w:p w14:paraId="0AE0E3D0" w14:textId="77777777" w:rsidR="006B48F4" w:rsidRPr="00084BA1" w:rsidRDefault="006B48F4">
      <w:pPr>
        <w:pStyle w:val="Alaviitteenteksti"/>
      </w:pPr>
      <w:r>
        <w:rPr>
          <w:rStyle w:val="Alaviitteenviite"/>
        </w:rPr>
        <w:footnoteRef/>
      </w:r>
      <w:r w:rsidRPr="00084BA1">
        <w:t xml:space="preserve"> ICJ 2018, s. 34. </w:t>
      </w:r>
    </w:p>
  </w:footnote>
  <w:footnote w:id="4">
    <w:p w14:paraId="709065C5" w14:textId="77777777" w:rsidR="006B48F4" w:rsidRPr="009C1BE4" w:rsidRDefault="006B48F4" w:rsidP="00650DD6">
      <w:pPr>
        <w:pStyle w:val="Alaviitteenteksti"/>
      </w:pPr>
      <w:r>
        <w:rPr>
          <w:rStyle w:val="Alaviitteenviite"/>
        </w:rPr>
        <w:footnoteRef/>
      </w:r>
      <w:r w:rsidRPr="009C1BE4">
        <w:t xml:space="preserve"> </w:t>
      </w:r>
      <w:r w:rsidRPr="009C1BE4">
        <w:t xml:space="preserve">Venice Commission 24.2.2017, s. 20, kohdat 96–97. </w:t>
      </w:r>
    </w:p>
  </w:footnote>
  <w:footnote w:id="5">
    <w:p w14:paraId="6E9D3425" w14:textId="77777777" w:rsidR="006B48F4" w:rsidRPr="009C1BE4" w:rsidRDefault="006B48F4">
      <w:pPr>
        <w:pStyle w:val="Alaviitteenteksti"/>
      </w:pPr>
      <w:r>
        <w:rPr>
          <w:rStyle w:val="Alaviitteenviite"/>
        </w:rPr>
        <w:footnoteRef/>
      </w:r>
      <w:r w:rsidRPr="009C1BE4">
        <w:t xml:space="preserve"> USDOS 20.3.2023, s. 10–11. </w:t>
      </w:r>
    </w:p>
  </w:footnote>
  <w:footnote w:id="6">
    <w:p w14:paraId="1FE659C4" w14:textId="77777777" w:rsidR="006B48F4" w:rsidRDefault="006B48F4">
      <w:pPr>
        <w:pStyle w:val="Alaviitteenteksti"/>
      </w:pPr>
      <w:r>
        <w:rPr>
          <w:rStyle w:val="Alaviitteenviite"/>
        </w:rPr>
        <w:footnoteRef/>
      </w:r>
      <w:r>
        <w:t xml:space="preserve"> </w:t>
      </w:r>
      <w:bookmarkStart w:id="6" w:name="_Hlk159495257"/>
      <w:r>
        <w:t>Lemonde</w:t>
      </w:r>
      <w:bookmarkEnd w:id="6"/>
      <w:r>
        <w:t xml:space="preserve"> 2014, s. 100, kohta 55. </w:t>
      </w:r>
    </w:p>
  </w:footnote>
  <w:footnote w:id="7">
    <w:p w14:paraId="630E8473" w14:textId="77777777" w:rsidR="006B48F4" w:rsidRDefault="006B48F4">
      <w:pPr>
        <w:pStyle w:val="Alaviitteenteksti"/>
      </w:pPr>
      <w:r>
        <w:rPr>
          <w:rStyle w:val="Alaviitteenviite"/>
        </w:rPr>
        <w:footnoteRef/>
      </w:r>
      <w:r>
        <w:t xml:space="preserve"> </w:t>
      </w:r>
      <w:r w:rsidRPr="00762A49">
        <w:t>Lemonde</w:t>
      </w:r>
      <w:r>
        <w:t xml:space="preserve"> 2014, s. 102, kohta 64. </w:t>
      </w:r>
    </w:p>
  </w:footnote>
  <w:footnote w:id="8">
    <w:p w14:paraId="3EFC1E39" w14:textId="77777777" w:rsidR="006B48F4" w:rsidRDefault="006B48F4">
      <w:pPr>
        <w:pStyle w:val="Alaviitteenteksti"/>
      </w:pPr>
      <w:r>
        <w:rPr>
          <w:rStyle w:val="Alaviitteenviite"/>
        </w:rPr>
        <w:footnoteRef/>
      </w:r>
      <w:r>
        <w:t xml:space="preserve"> </w:t>
      </w:r>
      <w:r>
        <w:t xml:space="preserve">Lemonde 2014, s. 155, kohdat 146–147. </w:t>
      </w:r>
    </w:p>
  </w:footnote>
  <w:footnote w:id="9">
    <w:p w14:paraId="69204081" w14:textId="77777777" w:rsidR="006B48F4" w:rsidRDefault="006B48F4" w:rsidP="002F0687">
      <w:pPr>
        <w:pStyle w:val="Alaviitteenteksti"/>
      </w:pPr>
      <w:r>
        <w:rPr>
          <w:rStyle w:val="Alaviitteenviite"/>
        </w:rPr>
        <w:footnoteRef/>
      </w:r>
      <w:r>
        <w:t xml:space="preserve"> </w:t>
      </w:r>
      <w:r>
        <w:t>Lemonde 2014, s. 123, kohta 197.</w:t>
      </w:r>
    </w:p>
  </w:footnote>
  <w:footnote w:id="10">
    <w:p w14:paraId="15577FDD" w14:textId="77777777" w:rsidR="006B48F4" w:rsidRDefault="006B48F4">
      <w:pPr>
        <w:pStyle w:val="Alaviitteenteksti"/>
      </w:pPr>
      <w:r>
        <w:rPr>
          <w:rStyle w:val="Alaviitteenviite"/>
        </w:rPr>
        <w:footnoteRef/>
      </w:r>
      <w:r>
        <w:t xml:space="preserve"> </w:t>
      </w:r>
      <w:r>
        <w:t xml:space="preserve">Lemonde 2014, s. 115–116, kohta 149. </w:t>
      </w:r>
    </w:p>
  </w:footnote>
  <w:footnote w:id="11">
    <w:p w14:paraId="58D10372" w14:textId="77777777" w:rsidR="006B48F4" w:rsidRPr="004D5E1B" w:rsidRDefault="006B48F4" w:rsidP="009379B0">
      <w:pPr>
        <w:pStyle w:val="Alaviitteenteksti"/>
        <w:rPr>
          <w:lang w:val="en-US"/>
        </w:rPr>
      </w:pPr>
      <w:r>
        <w:rPr>
          <w:rStyle w:val="Alaviitteenviite"/>
        </w:rPr>
        <w:footnoteRef/>
      </w:r>
      <w:r w:rsidRPr="004D5E1B">
        <w:rPr>
          <w:lang w:val="en-US"/>
        </w:rPr>
        <w:t xml:space="preserve"> USDOS 20.3.2023, s. 16.</w:t>
      </w:r>
    </w:p>
  </w:footnote>
  <w:footnote w:id="12">
    <w:p w14:paraId="657E1529" w14:textId="77777777" w:rsidR="006B48F4" w:rsidRPr="002C644F" w:rsidRDefault="006B48F4" w:rsidP="00655D1C">
      <w:pPr>
        <w:pStyle w:val="Alaviitteenteksti"/>
        <w:jc w:val="left"/>
        <w:rPr>
          <w:lang w:val="en-US"/>
        </w:rPr>
      </w:pPr>
      <w:r>
        <w:rPr>
          <w:rStyle w:val="Alaviitteenviite"/>
        </w:rPr>
        <w:footnoteRef/>
      </w:r>
      <w:r w:rsidRPr="00852DD4">
        <w:rPr>
          <w:lang w:val="en-US"/>
        </w:rPr>
        <w:t xml:space="preserve"> </w:t>
      </w:r>
      <w:r>
        <w:rPr>
          <w:lang w:val="en-US"/>
        </w:rPr>
        <w:t>Turkish Penal Procedure Code no. 5271,</w:t>
      </w:r>
      <w:r w:rsidRPr="00852DD4">
        <w:rPr>
          <w:lang w:val="en-US"/>
        </w:rPr>
        <w:t xml:space="preserve"> </w:t>
      </w:r>
      <w:r>
        <w:rPr>
          <w:lang w:val="en-US"/>
        </w:rPr>
        <w:t>1.6.</w:t>
      </w:r>
      <w:r w:rsidRPr="00852DD4">
        <w:rPr>
          <w:lang w:val="en-US"/>
        </w:rPr>
        <w:t>2005</w:t>
      </w:r>
      <w:r>
        <w:rPr>
          <w:lang w:val="en-US"/>
        </w:rPr>
        <w:t>, s. 281–313</w:t>
      </w:r>
      <w:r w:rsidRPr="00852DD4">
        <w:rPr>
          <w:lang w:val="en-US"/>
        </w:rPr>
        <w:t xml:space="preserve">. </w:t>
      </w:r>
    </w:p>
  </w:footnote>
  <w:footnote w:id="13">
    <w:p w14:paraId="30FEC38D" w14:textId="77777777" w:rsidR="006B48F4" w:rsidRDefault="006B48F4">
      <w:pPr>
        <w:pStyle w:val="Alaviitteenteksti"/>
      </w:pPr>
      <w:r>
        <w:rPr>
          <w:rStyle w:val="Alaviitteenviite"/>
        </w:rPr>
        <w:footnoteRef/>
      </w:r>
      <w:r>
        <w:t xml:space="preserve"> </w:t>
      </w:r>
      <w:bookmarkStart w:id="9" w:name="_Hlk159420240"/>
      <w:bookmarkStart w:id="10" w:name="_Hlk159420221"/>
      <w:r>
        <w:t xml:space="preserve">USDOS 20.3.2023, </w:t>
      </w:r>
      <w:bookmarkEnd w:id="9"/>
      <w:r>
        <w:t>s. 19</w:t>
      </w:r>
      <w:bookmarkEnd w:id="10"/>
      <w:r>
        <w:t>.</w:t>
      </w:r>
    </w:p>
  </w:footnote>
  <w:footnote w:id="14">
    <w:p w14:paraId="38A0C327" w14:textId="77777777" w:rsidR="006B48F4" w:rsidRDefault="006B48F4">
      <w:pPr>
        <w:pStyle w:val="Alaviitteenteksti"/>
      </w:pPr>
      <w:r>
        <w:rPr>
          <w:rStyle w:val="Alaviitteenviite"/>
        </w:rPr>
        <w:footnoteRef/>
      </w:r>
      <w:r>
        <w:t xml:space="preserve"> </w:t>
      </w:r>
      <w:bookmarkStart w:id="11" w:name="_Hlk159420264"/>
      <w:r>
        <w:t xml:space="preserve">USDOS 20.3.2023, </w:t>
      </w:r>
      <w:bookmarkEnd w:id="11"/>
      <w:r>
        <w:t>s. 26.</w:t>
      </w:r>
    </w:p>
  </w:footnote>
  <w:footnote w:id="15">
    <w:p w14:paraId="0A6B7B39" w14:textId="77777777" w:rsidR="006B48F4" w:rsidRDefault="006B48F4">
      <w:pPr>
        <w:pStyle w:val="Alaviitteenteksti"/>
      </w:pPr>
      <w:r>
        <w:rPr>
          <w:rStyle w:val="Alaviitteenviite"/>
        </w:rPr>
        <w:footnoteRef/>
      </w:r>
      <w:r>
        <w:t xml:space="preserve"> USDOS 20.3.2023, s. 16.</w:t>
      </w:r>
    </w:p>
  </w:footnote>
  <w:footnote w:id="16">
    <w:p w14:paraId="5862FB31" w14:textId="77777777" w:rsidR="006B48F4" w:rsidRPr="00E81AA4" w:rsidRDefault="006B48F4" w:rsidP="00E81AA4">
      <w:pPr>
        <w:pStyle w:val="Alaviitteenteksti"/>
        <w:jc w:val="left"/>
        <w:rPr>
          <w:lang w:val="en-US"/>
        </w:rPr>
      </w:pPr>
      <w:r>
        <w:rPr>
          <w:rStyle w:val="Alaviitteenviite"/>
        </w:rPr>
        <w:footnoteRef/>
      </w:r>
      <w:r>
        <w:rPr>
          <w:lang w:val="en-US"/>
        </w:rPr>
        <w:t xml:space="preserve"> </w:t>
      </w:r>
      <w:r w:rsidRPr="00E81AA4">
        <w:rPr>
          <w:lang w:val="en-US"/>
        </w:rPr>
        <w:t>Committee for the Prevention of Torture and Inhuman or Degrading Treatment or Punishment</w:t>
      </w:r>
      <w:r>
        <w:rPr>
          <w:lang w:val="en-US"/>
        </w:rPr>
        <w:t>.</w:t>
      </w:r>
    </w:p>
  </w:footnote>
  <w:footnote w:id="17">
    <w:p w14:paraId="684B7D8F" w14:textId="77777777" w:rsidR="006B48F4" w:rsidRPr="008202C1" w:rsidRDefault="006B48F4" w:rsidP="00E214D4">
      <w:pPr>
        <w:pStyle w:val="Alaviitteenteksti"/>
        <w:rPr>
          <w:lang w:val="en-US"/>
        </w:rPr>
      </w:pPr>
      <w:r>
        <w:rPr>
          <w:rStyle w:val="Alaviitteenviite"/>
        </w:rPr>
        <w:footnoteRef/>
      </w:r>
      <w:r w:rsidRPr="008202C1">
        <w:rPr>
          <w:lang w:val="en-US"/>
        </w:rPr>
        <w:t xml:space="preserve"> CPT 5.8.2020</w:t>
      </w:r>
      <w:r>
        <w:rPr>
          <w:lang w:val="en-US"/>
        </w:rPr>
        <w:t>, s. 4</w:t>
      </w:r>
      <w:r w:rsidRPr="008202C1">
        <w:rPr>
          <w:lang w:val="en-US"/>
        </w:rPr>
        <w:t>.</w:t>
      </w:r>
    </w:p>
  </w:footnote>
  <w:footnote w:id="18">
    <w:p w14:paraId="331CD355" w14:textId="77777777" w:rsidR="006B48F4" w:rsidRPr="008202C1" w:rsidRDefault="006B48F4">
      <w:pPr>
        <w:pStyle w:val="Alaviitteenteksti"/>
        <w:rPr>
          <w:lang w:val="en-US"/>
        </w:rPr>
      </w:pPr>
      <w:r>
        <w:rPr>
          <w:rStyle w:val="Alaviitteenviite"/>
        </w:rPr>
        <w:footnoteRef/>
      </w:r>
      <w:r w:rsidRPr="008202C1">
        <w:rPr>
          <w:lang w:val="en-US"/>
        </w:rPr>
        <w:t xml:space="preserve"> CPT 5.8.2020</w:t>
      </w:r>
      <w:r>
        <w:rPr>
          <w:lang w:val="en-US"/>
        </w:rPr>
        <w:t>, s. 4</w:t>
      </w:r>
      <w:r w:rsidRPr="008202C1">
        <w:rPr>
          <w:lang w:val="en-US"/>
        </w:rPr>
        <w:t>.</w:t>
      </w:r>
    </w:p>
  </w:footnote>
  <w:footnote w:id="19">
    <w:p w14:paraId="73E42B6F" w14:textId="77777777" w:rsidR="006B48F4" w:rsidRPr="008202C1" w:rsidRDefault="006B48F4" w:rsidP="00677540">
      <w:pPr>
        <w:pStyle w:val="Alaviitteenteksti"/>
        <w:rPr>
          <w:lang w:val="en-US"/>
        </w:rPr>
      </w:pPr>
      <w:r>
        <w:rPr>
          <w:rStyle w:val="Alaviitteenviite"/>
        </w:rPr>
        <w:footnoteRef/>
      </w:r>
      <w:r w:rsidRPr="008202C1">
        <w:rPr>
          <w:lang w:val="en-US"/>
        </w:rPr>
        <w:t xml:space="preserve"> CPT 5.8.2020</w:t>
      </w:r>
      <w:r>
        <w:rPr>
          <w:lang w:val="en-US"/>
        </w:rPr>
        <w:t>, s. 4</w:t>
      </w:r>
      <w:r w:rsidRPr="008202C1">
        <w:rPr>
          <w:lang w:val="en-US"/>
        </w:rPr>
        <w:t>.</w:t>
      </w:r>
    </w:p>
  </w:footnote>
  <w:footnote w:id="20">
    <w:p w14:paraId="13632D13" w14:textId="77777777" w:rsidR="006B48F4" w:rsidRPr="0023576C" w:rsidRDefault="006B48F4" w:rsidP="00E214D4">
      <w:pPr>
        <w:pStyle w:val="Alaviitteenteksti"/>
        <w:rPr>
          <w:lang w:val="en-US"/>
        </w:rPr>
      </w:pPr>
      <w:r>
        <w:rPr>
          <w:rStyle w:val="Alaviitteenviite"/>
        </w:rPr>
        <w:footnoteRef/>
      </w:r>
      <w:r w:rsidRPr="0023576C">
        <w:rPr>
          <w:lang w:val="en-US"/>
        </w:rPr>
        <w:t xml:space="preserve"> </w:t>
      </w:r>
      <w:r>
        <w:rPr>
          <w:lang w:val="en-US"/>
        </w:rPr>
        <w:t xml:space="preserve">CoE 5.4.2022; </w:t>
      </w:r>
      <w:r w:rsidRPr="0023576C">
        <w:rPr>
          <w:lang w:val="en-US"/>
        </w:rPr>
        <w:t xml:space="preserve">SCF 24.5.2023. </w:t>
      </w:r>
    </w:p>
  </w:footnote>
  <w:footnote w:id="21">
    <w:p w14:paraId="5EC4ED2B" w14:textId="77777777" w:rsidR="006B48F4" w:rsidRPr="0023576C" w:rsidRDefault="006B48F4" w:rsidP="00E214D4">
      <w:pPr>
        <w:pStyle w:val="Alaviitteenteksti"/>
        <w:rPr>
          <w:lang w:val="en-US"/>
        </w:rPr>
      </w:pPr>
      <w:r>
        <w:rPr>
          <w:rStyle w:val="Alaviitteenviite"/>
        </w:rPr>
        <w:footnoteRef/>
      </w:r>
      <w:r w:rsidRPr="0023576C">
        <w:rPr>
          <w:lang w:val="en-US"/>
        </w:rPr>
        <w:t xml:space="preserve"> USDOS 20.3.2023, s. 9.</w:t>
      </w:r>
    </w:p>
  </w:footnote>
  <w:footnote w:id="22">
    <w:p w14:paraId="43CB7E76" w14:textId="77777777" w:rsidR="006B48F4" w:rsidRPr="0023576C" w:rsidRDefault="006B48F4" w:rsidP="000A60F6">
      <w:pPr>
        <w:pStyle w:val="Alaviitteenteksti"/>
        <w:rPr>
          <w:lang w:val="en-US"/>
        </w:rPr>
      </w:pPr>
      <w:r>
        <w:rPr>
          <w:rStyle w:val="Alaviitteenviite"/>
        </w:rPr>
        <w:footnoteRef/>
      </w:r>
      <w:r w:rsidRPr="0023576C">
        <w:rPr>
          <w:lang w:val="en-US"/>
        </w:rPr>
        <w:t xml:space="preserve"> USDOS 20.3.2023, s. 9.</w:t>
      </w:r>
    </w:p>
  </w:footnote>
  <w:footnote w:id="23">
    <w:p w14:paraId="70BF47A9" w14:textId="77777777" w:rsidR="006B48F4" w:rsidRPr="00084BA1" w:rsidRDefault="006B48F4" w:rsidP="000A60F6">
      <w:pPr>
        <w:pStyle w:val="Alaviitteenteksti"/>
      </w:pPr>
      <w:r>
        <w:rPr>
          <w:rStyle w:val="Alaviitteenviite"/>
        </w:rPr>
        <w:footnoteRef/>
      </w:r>
      <w:r w:rsidRPr="00084BA1">
        <w:t xml:space="preserve"> SCF 24.5.2023.</w:t>
      </w:r>
    </w:p>
  </w:footnote>
  <w:footnote w:id="24">
    <w:p w14:paraId="75E53967" w14:textId="0EB3E591" w:rsidR="006B48F4" w:rsidRPr="007802C9" w:rsidRDefault="006B48F4" w:rsidP="00606571">
      <w:pPr>
        <w:pStyle w:val="Alaviitteenteksti"/>
        <w:jc w:val="left"/>
      </w:pPr>
      <w:r w:rsidRPr="00B73CB6">
        <w:rPr>
          <w:rStyle w:val="Alaviitteenviite"/>
        </w:rPr>
        <w:footnoteRef/>
      </w:r>
      <w:r w:rsidRPr="007802C9">
        <w:t xml:space="preserve"> </w:t>
      </w:r>
      <w:r w:rsidRPr="007802C9">
        <w:t xml:space="preserve">İnsan Hakları Derneği (IHD), engl. Human Rights Association (HRA), kotisivut: </w:t>
      </w:r>
      <w:hyperlink r:id="rId1" w:history="1">
        <w:r w:rsidRPr="007802C9">
          <w:rPr>
            <w:rStyle w:val="Hyperlinkki"/>
          </w:rPr>
          <w:t>https://ihd.org.tr/en/</w:t>
        </w:r>
      </w:hyperlink>
      <w:r w:rsidRPr="007802C9">
        <w:t xml:space="preserve"> (käyty 1.3.2024)</w:t>
      </w:r>
      <w:r w:rsidR="007802C9" w:rsidRPr="007802C9">
        <w:t xml:space="preserve"> IHD:n paikallisosastot julkaisevat raportteja omien alueidensa vankiloiden ihmisoikeusrikkomuksista.</w:t>
      </w:r>
    </w:p>
  </w:footnote>
  <w:footnote w:id="25">
    <w:p w14:paraId="635E2117" w14:textId="2AB8C4C5" w:rsidR="006B48F4" w:rsidRPr="009D2D0D" w:rsidRDefault="006B48F4" w:rsidP="009D2D0D">
      <w:pPr>
        <w:pStyle w:val="Alaviitteenteksti"/>
        <w:jc w:val="left"/>
      </w:pPr>
      <w:r>
        <w:rPr>
          <w:rStyle w:val="Alaviitteenviite"/>
        </w:rPr>
        <w:footnoteRef/>
      </w:r>
      <w:r w:rsidRPr="007802C9">
        <w:t xml:space="preserve"> IHD 7/2023, s. 13. </w:t>
      </w:r>
    </w:p>
  </w:footnote>
  <w:footnote w:id="26">
    <w:p w14:paraId="752D1394" w14:textId="77777777" w:rsidR="006B48F4" w:rsidRPr="009D2D0D" w:rsidRDefault="006B48F4" w:rsidP="006220A3">
      <w:pPr>
        <w:pStyle w:val="Alaviitteenteksti"/>
        <w:rPr>
          <w:lang w:val="en-US"/>
        </w:rPr>
      </w:pPr>
      <w:r>
        <w:rPr>
          <w:rStyle w:val="Alaviitteenviite"/>
        </w:rPr>
        <w:footnoteRef/>
      </w:r>
      <w:r w:rsidRPr="009D2D0D">
        <w:rPr>
          <w:lang w:val="en-US"/>
        </w:rPr>
        <w:t xml:space="preserve"> CPT 5.8.2020, s. 4.</w:t>
      </w:r>
    </w:p>
  </w:footnote>
  <w:footnote w:id="27">
    <w:p w14:paraId="5D551843" w14:textId="7930487E" w:rsidR="006B48F4" w:rsidRPr="00FA399C" w:rsidRDefault="006B48F4" w:rsidP="006A02F6">
      <w:pPr>
        <w:pStyle w:val="Alaviitteenteksti"/>
        <w:jc w:val="left"/>
      </w:pPr>
      <w:r>
        <w:rPr>
          <w:rStyle w:val="Alaviitteenviite"/>
        </w:rPr>
        <w:footnoteRef/>
      </w:r>
      <w:r w:rsidRPr="006F4984">
        <w:t xml:space="preserve"> </w:t>
      </w:r>
      <w:r w:rsidRPr="006F4984">
        <w:t>Medya ve Hukuk Çalışmaları Derneği, jonka logo muodostuu järjestö</w:t>
      </w:r>
      <w:r>
        <w:t>n engl. nimen lyhenteestä</w:t>
      </w:r>
      <w:r w:rsidRPr="006F4984">
        <w:t xml:space="preserve"> MLSA. </w:t>
      </w:r>
      <w:r>
        <w:t>Kansalaisjärjestö kertoo toimivansa ihmisten tiedonsaantioikeuden, sananvapauden ja lehdistönvapauden parissa.</w:t>
      </w:r>
      <w:r w:rsidRPr="00FA399C">
        <w:t xml:space="preserve"> </w:t>
      </w:r>
      <w:r w:rsidR="006A02F6">
        <w:t>Kotisivut:</w:t>
      </w:r>
      <w:r>
        <w:t xml:space="preserve"> </w:t>
      </w:r>
      <w:hyperlink r:id="rId2" w:history="1">
        <w:r w:rsidRPr="00A9401D">
          <w:rPr>
            <w:rStyle w:val="Hyperlinkki"/>
          </w:rPr>
          <w:t>https://www.mlsaturkey.com/en/home/</w:t>
        </w:r>
      </w:hyperlink>
      <w:r>
        <w:t xml:space="preserve"> (käyty 4.3.2024)</w:t>
      </w:r>
    </w:p>
  </w:footnote>
  <w:footnote w:id="28">
    <w:p w14:paraId="2490BA27" w14:textId="77777777" w:rsidR="006B48F4" w:rsidRPr="00FA399C" w:rsidRDefault="006B48F4" w:rsidP="006A02F6">
      <w:pPr>
        <w:pStyle w:val="Alaviitteenteksti"/>
        <w:jc w:val="left"/>
      </w:pPr>
      <w:r>
        <w:rPr>
          <w:rStyle w:val="Alaviitteenviite"/>
        </w:rPr>
        <w:footnoteRef/>
      </w:r>
      <w:r w:rsidRPr="00FA399C">
        <w:t xml:space="preserve"> USDOS 20.3.2023, s. 10.</w:t>
      </w:r>
    </w:p>
  </w:footnote>
  <w:footnote w:id="29">
    <w:p w14:paraId="09049743" w14:textId="77777777" w:rsidR="006B48F4" w:rsidRPr="00084BA1" w:rsidRDefault="006B48F4" w:rsidP="006A02F6">
      <w:pPr>
        <w:pStyle w:val="Alaviitteenteksti"/>
        <w:jc w:val="left"/>
        <w:rPr>
          <w:lang w:val="en-US"/>
        </w:rPr>
      </w:pPr>
      <w:r>
        <w:rPr>
          <w:rStyle w:val="Alaviitteenviite"/>
        </w:rPr>
        <w:footnoteRef/>
      </w:r>
      <w:r w:rsidRPr="00084BA1">
        <w:rPr>
          <w:lang w:val="en-US"/>
        </w:rPr>
        <w:t xml:space="preserve"> USDOS 20.3.2023, s. 10.</w:t>
      </w:r>
    </w:p>
  </w:footnote>
  <w:footnote w:id="30">
    <w:p w14:paraId="5FD70243" w14:textId="4C5A136B" w:rsidR="00B10323" w:rsidRPr="006B48F4" w:rsidRDefault="00B10323" w:rsidP="006A02F6">
      <w:pPr>
        <w:pStyle w:val="Alaviitteenteksti"/>
        <w:jc w:val="left"/>
      </w:pPr>
      <w:r>
        <w:rPr>
          <w:rStyle w:val="Alaviitteenviite"/>
        </w:rPr>
        <w:footnoteRef/>
      </w:r>
      <w:r w:rsidRPr="00B10323">
        <w:rPr>
          <w:lang w:val="en-US"/>
        </w:rPr>
        <w:t xml:space="preserve"> </w:t>
      </w:r>
      <w:r w:rsidRPr="00B10323">
        <w:rPr>
          <w:lang w:val="en-US"/>
        </w:rPr>
        <w:t xml:space="preserve">Türkiye İnsan Hakları Vakfı, engl. </w:t>
      </w:r>
      <w:r w:rsidRPr="00945D2E">
        <w:rPr>
          <w:lang w:val="en-US"/>
        </w:rPr>
        <w:t>Human Rights Foundation of Turkey</w:t>
      </w:r>
      <w:r>
        <w:rPr>
          <w:lang w:val="en-US"/>
        </w:rPr>
        <w:t xml:space="preserve">, </w:t>
      </w:r>
      <w:r w:rsidRPr="007655AF">
        <w:rPr>
          <w:lang w:val="en-US"/>
        </w:rPr>
        <w:t>HRFT</w:t>
      </w:r>
      <w:r>
        <w:rPr>
          <w:lang w:val="en-US"/>
        </w:rPr>
        <w:t xml:space="preserve">. </w:t>
      </w:r>
      <w:r w:rsidRPr="006B48F4">
        <w:t>Kotisivut</w:t>
      </w:r>
      <w:r w:rsidR="006A02F6">
        <w:t>:</w:t>
      </w:r>
      <w:r w:rsidRPr="006B48F4">
        <w:t xml:space="preserve"> </w:t>
      </w:r>
      <w:hyperlink r:id="rId3" w:history="1">
        <w:r w:rsidRPr="006B48F4">
          <w:rPr>
            <w:rStyle w:val="Hyperlinkki"/>
          </w:rPr>
          <w:t>https://en.tihv.org.tr/</w:t>
        </w:r>
      </w:hyperlink>
      <w:r w:rsidRPr="006B48F4">
        <w:t xml:space="preserve"> (käyty 8.3.2024)</w:t>
      </w:r>
    </w:p>
  </w:footnote>
  <w:footnote w:id="31">
    <w:p w14:paraId="797807A4" w14:textId="7B9B7DA6" w:rsidR="00B10323" w:rsidRPr="00B10323" w:rsidRDefault="00B10323" w:rsidP="006A02F6">
      <w:pPr>
        <w:pStyle w:val="Alaviitteenteksti"/>
        <w:jc w:val="left"/>
        <w:rPr>
          <w:lang w:val="en-US"/>
        </w:rPr>
      </w:pPr>
      <w:r>
        <w:rPr>
          <w:rStyle w:val="Alaviitteenviite"/>
        </w:rPr>
        <w:footnoteRef/>
      </w:r>
      <w:r w:rsidRPr="00B10323">
        <w:rPr>
          <w:lang w:val="en-US"/>
        </w:rPr>
        <w:t xml:space="preserve"> HRFT 8/2023, s. </w:t>
      </w:r>
      <w:r>
        <w:rPr>
          <w:lang w:val="en-US"/>
        </w:rPr>
        <w:t>28</w:t>
      </w:r>
      <w:r w:rsidRPr="00B10323">
        <w:rPr>
          <w:lang w:val="en-US"/>
        </w:rPr>
        <w:t>.</w:t>
      </w:r>
    </w:p>
  </w:footnote>
  <w:footnote w:id="32">
    <w:p w14:paraId="102B899C" w14:textId="77777777" w:rsidR="006B48F4" w:rsidRPr="00254C6F" w:rsidRDefault="006B48F4" w:rsidP="006A02F6">
      <w:pPr>
        <w:pStyle w:val="Alaviitteenteksti"/>
        <w:jc w:val="left"/>
        <w:rPr>
          <w:lang w:val="en-US"/>
        </w:rPr>
      </w:pPr>
      <w:r w:rsidRPr="00A265B8">
        <w:rPr>
          <w:rStyle w:val="Alaviitteenviite"/>
        </w:rPr>
        <w:footnoteRef/>
      </w:r>
      <w:r w:rsidRPr="00A265B8">
        <w:rPr>
          <w:lang w:val="en-US"/>
        </w:rPr>
        <w:t xml:space="preserve"> ECHR</w:t>
      </w:r>
      <w:r>
        <w:rPr>
          <w:lang w:val="en-US"/>
        </w:rPr>
        <w:t xml:space="preserve"> 18.3.2013.</w:t>
      </w:r>
      <w:r w:rsidRPr="00254C6F">
        <w:rPr>
          <w:lang w:val="en-US"/>
        </w:rPr>
        <w:t xml:space="preserve"> </w:t>
      </w:r>
    </w:p>
  </w:footnote>
  <w:footnote w:id="33">
    <w:p w14:paraId="714AD5D9" w14:textId="77777777" w:rsidR="006B48F4" w:rsidRPr="00421A4F" w:rsidRDefault="006B48F4" w:rsidP="006A02F6">
      <w:pPr>
        <w:pStyle w:val="Alaviitteenteksti"/>
        <w:jc w:val="left"/>
        <w:rPr>
          <w:lang w:val="en-US"/>
        </w:rPr>
      </w:pPr>
      <w:r>
        <w:rPr>
          <w:rStyle w:val="Alaviitteenviite"/>
        </w:rPr>
        <w:footnoteRef/>
      </w:r>
      <w:r w:rsidRPr="00084BA1">
        <w:rPr>
          <w:lang w:val="en-US"/>
        </w:rPr>
        <w:t xml:space="preserve"> </w:t>
      </w:r>
      <w:r w:rsidRPr="00084BA1">
        <w:rPr>
          <w:lang w:val="en-US"/>
        </w:rPr>
        <w:t xml:space="preserve">Ceza İnfaz Sisteminde Sivil Toplum Derneği, engl. </w:t>
      </w:r>
      <w:r w:rsidRPr="00421A4F">
        <w:rPr>
          <w:lang w:val="en-US"/>
        </w:rPr>
        <w:t>Civil Society in the Penal System Association</w:t>
      </w:r>
      <w:r>
        <w:rPr>
          <w:lang w:val="en-US"/>
        </w:rPr>
        <w:t xml:space="preserve">, kotisivut: </w:t>
      </w:r>
      <w:hyperlink r:id="rId4" w:history="1">
        <w:r w:rsidRPr="00327B0A">
          <w:rPr>
            <w:rStyle w:val="Hyperlinkki"/>
            <w:lang w:val="en-US"/>
          </w:rPr>
          <w:t>https://cisst.org.tr/en/</w:t>
        </w:r>
      </w:hyperlink>
      <w:r>
        <w:rPr>
          <w:lang w:val="en-US"/>
        </w:rPr>
        <w:t xml:space="preserve"> (käyty 1.3.2024)</w:t>
      </w:r>
      <w:r w:rsidRPr="00421A4F">
        <w:rPr>
          <w:lang w:val="en-US"/>
        </w:rPr>
        <w:t xml:space="preserve"> </w:t>
      </w:r>
    </w:p>
  </w:footnote>
  <w:footnote w:id="34">
    <w:p w14:paraId="5EFADE2A" w14:textId="77777777" w:rsidR="006B48F4" w:rsidRPr="00084BA1" w:rsidRDefault="006B48F4" w:rsidP="006A02F6">
      <w:pPr>
        <w:pStyle w:val="Alaviitteenteksti"/>
        <w:jc w:val="left"/>
        <w:rPr>
          <w:lang w:val="sv-SE"/>
        </w:rPr>
      </w:pPr>
      <w:r>
        <w:rPr>
          <w:rStyle w:val="Alaviitteenviite"/>
        </w:rPr>
        <w:footnoteRef/>
      </w:r>
      <w:r w:rsidRPr="00084BA1">
        <w:rPr>
          <w:lang w:val="sv-SE"/>
        </w:rPr>
        <w:t xml:space="preserve"> </w:t>
      </w:r>
      <w:bookmarkStart w:id="12" w:name="_Hlk160454389"/>
      <w:r w:rsidRPr="00084BA1">
        <w:rPr>
          <w:lang w:val="sv-SE"/>
        </w:rPr>
        <w:t xml:space="preserve">CISST 8/2019, s. 19. </w:t>
      </w:r>
      <w:bookmarkEnd w:id="12"/>
    </w:p>
  </w:footnote>
  <w:footnote w:id="35">
    <w:p w14:paraId="5929E6AB" w14:textId="77777777" w:rsidR="006B48F4" w:rsidRPr="00084BA1" w:rsidRDefault="006B48F4" w:rsidP="006A02F6">
      <w:pPr>
        <w:pStyle w:val="Alaviitteenteksti"/>
        <w:jc w:val="left"/>
        <w:rPr>
          <w:lang w:val="sv-SE"/>
        </w:rPr>
      </w:pPr>
      <w:r>
        <w:rPr>
          <w:rStyle w:val="Alaviitteenviite"/>
        </w:rPr>
        <w:footnoteRef/>
      </w:r>
      <w:r w:rsidRPr="00084BA1">
        <w:rPr>
          <w:lang w:val="sv-SE"/>
        </w:rPr>
        <w:t xml:space="preserve"> USDOS 20.3.2023, s. 9.</w:t>
      </w:r>
    </w:p>
  </w:footnote>
  <w:footnote w:id="36">
    <w:p w14:paraId="3783202A" w14:textId="77777777" w:rsidR="006B48F4" w:rsidRPr="00084BA1" w:rsidRDefault="006B48F4" w:rsidP="00FA399C">
      <w:pPr>
        <w:pStyle w:val="Alaviitteenteksti"/>
        <w:rPr>
          <w:lang w:val="sv-SE"/>
        </w:rPr>
      </w:pPr>
      <w:r>
        <w:rPr>
          <w:rStyle w:val="Alaviitteenviite"/>
        </w:rPr>
        <w:footnoteRef/>
      </w:r>
      <w:r w:rsidRPr="00084BA1">
        <w:rPr>
          <w:lang w:val="sv-SE"/>
        </w:rPr>
        <w:t xml:space="preserve"> USDOS 20.3.2023, s. 5. </w:t>
      </w:r>
    </w:p>
  </w:footnote>
  <w:footnote w:id="37">
    <w:p w14:paraId="3C75B044" w14:textId="77777777" w:rsidR="006B48F4" w:rsidRDefault="006B48F4">
      <w:pPr>
        <w:pStyle w:val="Alaviitteenteksti"/>
      </w:pPr>
      <w:r>
        <w:rPr>
          <w:rStyle w:val="Alaviitteenviite"/>
        </w:rPr>
        <w:footnoteRef/>
      </w:r>
      <w:r>
        <w:t xml:space="preserve"> </w:t>
      </w:r>
      <w:r w:rsidRPr="0048544A">
        <w:t>USDOS 20.3.2023, s. 10</w:t>
      </w:r>
      <w:r>
        <w:t>–11</w:t>
      </w:r>
      <w:r w:rsidRPr="0048544A">
        <w:t>.</w:t>
      </w:r>
    </w:p>
  </w:footnote>
  <w:footnote w:id="38">
    <w:p w14:paraId="09F805B6" w14:textId="77777777" w:rsidR="006B48F4" w:rsidRPr="009B45AC" w:rsidRDefault="006B48F4" w:rsidP="009B45AC">
      <w:pPr>
        <w:pStyle w:val="Alaviitteenteksti"/>
        <w:jc w:val="left"/>
      </w:pPr>
      <w:r>
        <w:rPr>
          <w:rStyle w:val="Alaviitteenviite"/>
        </w:rPr>
        <w:footnoteRef/>
      </w:r>
      <w:r w:rsidRPr="00084BA1">
        <w:t xml:space="preserve"> SCF 6.1.2022. </w:t>
      </w:r>
    </w:p>
  </w:footnote>
  <w:footnote w:id="39">
    <w:p w14:paraId="430BA7AE" w14:textId="77777777" w:rsidR="006B48F4" w:rsidRPr="006B48F4" w:rsidRDefault="006B48F4" w:rsidP="006B48F4">
      <w:pPr>
        <w:pStyle w:val="Alaviitteenteksti"/>
      </w:pPr>
      <w:r>
        <w:rPr>
          <w:rStyle w:val="Alaviitteenviite"/>
        </w:rPr>
        <w:footnoteRef/>
      </w:r>
      <w:r w:rsidRPr="006B48F4">
        <w:t xml:space="preserve"> HRFT 8/2023, s. 89.</w:t>
      </w:r>
    </w:p>
  </w:footnote>
  <w:footnote w:id="40">
    <w:p w14:paraId="312C8E9C" w14:textId="77777777" w:rsidR="006B48F4" w:rsidRPr="006B48F4" w:rsidRDefault="006B48F4" w:rsidP="006B48F4">
      <w:pPr>
        <w:pStyle w:val="Alaviitteenteksti"/>
      </w:pPr>
      <w:r>
        <w:rPr>
          <w:rStyle w:val="Alaviitteenviite"/>
        </w:rPr>
        <w:footnoteRef/>
      </w:r>
      <w:r w:rsidRPr="006B48F4">
        <w:t xml:space="preserve"> HRFT 8/2023, s. 51.</w:t>
      </w:r>
    </w:p>
  </w:footnote>
  <w:footnote w:id="41">
    <w:p w14:paraId="1567CCB1" w14:textId="77777777" w:rsidR="006B48F4" w:rsidRPr="007655AF" w:rsidRDefault="006B48F4" w:rsidP="006B48F4">
      <w:pPr>
        <w:pStyle w:val="Alaviitteenteksti"/>
        <w:rPr>
          <w:lang w:val="en-US"/>
        </w:rPr>
      </w:pPr>
      <w:r>
        <w:rPr>
          <w:rStyle w:val="Alaviitteenviite"/>
        </w:rPr>
        <w:footnoteRef/>
      </w:r>
      <w:r w:rsidRPr="007655AF">
        <w:rPr>
          <w:lang w:val="en-US"/>
        </w:rPr>
        <w:t xml:space="preserve"> HRFT 8/2023, s. 56.</w:t>
      </w:r>
    </w:p>
  </w:footnote>
  <w:footnote w:id="42">
    <w:p w14:paraId="71FDE24E" w14:textId="77777777" w:rsidR="006B48F4" w:rsidRPr="007655AF" w:rsidRDefault="006B48F4" w:rsidP="006B48F4">
      <w:pPr>
        <w:pStyle w:val="Alaviitteenteksti"/>
        <w:rPr>
          <w:lang w:val="en-US"/>
        </w:rPr>
      </w:pPr>
      <w:r>
        <w:rPr>
          <w:rStyle w:val="Alaviitteenviite"/>
        </w:rPr>
        <w:footnoteRef/>
      </w:r>
      <w:r w:rsidRPr="007655AF">
        <w:rPr>
          <w:lang w:val="en-US"/>
        </w:rPr>
        <w:t xml:space="preserve"> HRFT 8/2023, s. 63.</w:t>
      </w:r>
    </w:p>
  </w:footnote>
  <w:footnote w:id="43">
    <w:p w14:paraId="33DFABD2" w14:textId="77777777" w:rsidR="006B48F4" w:rsidRPr="007655AF" w:rsidRDefault="006B48F4" w:rsidP="006B48F4">
      <w:pPr>
        <w:pStyle w:val="Alaviitteenteksti"/>
        <w:rPr>
          <w:lang w:val="en-US"/>
        </w:rPr>
      </w:pPr>
      <w:r>
        <w:rPr>
          <w:rStyle w:val="Alaviitteenviite"/>
        </w:rPr>
        <w:footnoteRef/>
      </w:r>
      <w:r w:rsidRPr="007655AF">
        <w:rPr>
          <w:lang w:val="en-US"/>
        </w:rPr>
        <w:t xml:space="preserve"> HRFT 8/2023, s. 66.</w:t>
      </w:r>
    </w:p>
  </w:footnote>
  <w:footnote w:id="44">
    <w:p w14:paraId="26CF56E8" w14:textId="77777777" w:rsidR="006B48F4" w:rsidRPr="007655AF" w:rsidRDefault="006B48F4" w:rsidP="006B48F4">
      <w:pPr>
        <w:pStyle w:val="Alaviitteenteksti"/>
        <w:rPr>
          <w:lang w:val="en-US"/>
        </w:rPr>
      </w:pPr>
      <w:r>
        <w:rPr>
          <w:rStyle w:val="Alaviitteenviite"/>
        </w:rPr>
        <w:footnoteRef/>
      </w:r>
      <w:r w:rsidRPr="007655AF">
        <w:rPr>
          <w:lang w:val="en-US"/>
        </w:rPr>
        <w:t xml:space="preserve"> HRFT 8/2023, s. 67.</w:t>
      </w:r>
    </w:p>
  </w:footnote>
  <w:footnote w:id="45">
    <w:p w14:paraId="7B45BDEC" w14:textId="77777777" w:rsidR="006B48F4" w:rsidRPr="007655AF" w:rsidRDefault="006B48F4" w:rsidP="006B48F4">
      <w:pPr>
        <w:pStyle w:val="Alaviitteenteksti"/>
        <w:rPr>
          <w:lang w:val="en-US"/>
        </w:rPr>
      </w:pPr>
      <w:r>
        <w:rPr>
          <w:rStyle w:val="Alaviitteenviite"/>
        </w:rPr>
        <w:footnoteRef/>
      </w:r>
      <w:r w:rsidRPr="007655AF">
        <w:rPr>
          <w:lang w:val="en-US"/>
        </w:rPr>
        <w:t xml:space="preserve"> HRFT 8/2023, s. 71. </w:t>
      </w:r>
    </w:p>
  </w:footnote>
  <w:footnote w:id="46">
    <w:p w14:paraId="3D93F70D" w14:textId="77777777" w:rsidR="006B48F4" w:rsidRPr="006D13A7" w:rsidRDefault="006B48F4" w:rsidP="006B48F4">
      <w:pPr>
        <w:pStyle w:val="Alaviitteenteksti"/>
        <w:rPr>
          <w:lang w:val="en-US"/>
        </w:rPr>
      </w:pPr>
      <w:r>
        <w:rPr>
          <w:rStyle w:val="Alaviitteenviite"/>
        </w:rPr>
        <w:footnoteRef/>
      </w:r>
      <w:r w:rsidRPr="006D13A7">
        <w:rPr>
          <w:lang w:val="en-US"/>
        </w:rPr>
        <w:t xml:space="preserve"> HRFT 8/2023, s. 72</w:t>
      </w:r>
    </w:p>
  </w:footnote>
  <w:footnote w:id="47">
    <w:p w14:paraId="70799259" w14:textId="77777777" w:rsidR="006B48F4" w:rsidRPr="006D13A7" w:rsidRDefault="006B48F4" w:rsidP="006B48F4">
      <w:pPr>
        <w:pStyle w:val="Alaviitteenteksti"/>
        <w:rPr>
          <w:lang w:val="en-US"/>
        </w:rPr>
      </w:pPr>
      <w:r>
        <w:rPr>
          <w:rStyle w:val="Alaviitteenviite"/>
        </w:rPr>
        <w:footnoteRef/>
      </w:r>
      <w:r w:rsidRPr="006D13A7">
        <w:rPr>
          <w:lang w:val="en-US"/>
        </w:rPr>
        <w:t xml:space="preserve"> HRFT 8/2023, s. 75</w:t>
      </w:r>
    </w:p>
  </w:footnote>
  <w:footnote w:id="48">
    <w:p w14:paraId="02F05E5E" w14:textId="77777777" w:rsidR="006B48F4" w:rsidRPr="006D13A7" w:rsidRDefault="006B48F4" w:rsidP="006B48F4">
      <w:pPr>
        <w:pStyle w:val="Alaviitteenteksti"/>
        <w:rPr>
          <w:lang w:val="en-US"/>
        </w:rPr>
      </w:pPr>
      <w:r>
        <w:rPr>
          <w:rStyle w:val="Alaviitteenviite"/>
        </w:rPr>
        <w:footnoteRef/>
      </w:r>
      <w:r w:rsidRPr="006D13A7">
        <w:rPr>
          <w:lang w:val="en-US"/>
        </w:rPr>
        <w:t xml:space="preserve"> HRFT 8/2023, s. 83. </w:t>
      </w:r>
    </w:p>
  </w:footnote>
  <w:footnote w:id="49">
    <w:p w14:paraId="442AF906" w14:textId="7E17BCC0" w:rsidR="00B338B3" w:rsidRDefault="00B338B3">
      <w:pPr>
        <w:pStyle w:val="Alaviitteenteksti"/>
      </w:pPr>
      <w:r>
        <w:rPr>
          <w:rStyle w:val="Alaviitteenviite"/>
        </w:rPr>
        <w:footnoteRef/>
      </w:r>
      <w:r>
        <w:t xml:space="preserve"> Nämä kuuluvat Kaakkois-Turkin keskeisiin kurdialueisiin. </w:t>
      </w:r>
    </w:p>
  </w:footnote>
  <w:footnote w:id="50">
    <w:p w14:paraId="5A60DD57" w14:textId="77777777" w:rsidR="006B48F4" w:rsidRPr="00B338B3" w:rsidRDefault="006B48F4" w:rsidP="006B48F4">
      <w:pPr>
        <w:pStyle w:val="Alaviitteenteksti"/>
      </w:pPr>
      <w:r>
        <w:rPr>
          <w:rStyle w:val="Alaviitteenviite"/>
        </w:rPr>
        <w:footnoteRef/>
      </w:r>
      <w:r w:rsidRPr="00B338B3">
        <w:t xml:space="preserve"> </w:t>
      </w:r>
      <w:bookmarkStart w:id="14" w:name="_Hlk160799980"/>
      <w:r w:rsidRPr="00B338B3">
        <w:t>HRFT 8/2023, s. 89.</w:t>
      </w:r>
    </w:p>
    <w:bookmarkEnd w:id="14"/>
  </w:footnote>
  <w:footnote w:id="51">
    <w:p w14:paraId="51183E5B" w14:textId="77777777" w:rsidR="006B48F4" w:rsidRPr="006B48F4" w:rsidRDefault="006B48F4" w:rsidP="006B48F4">
      <w:pPr>
        <w:pStyle w:val="Alaviitteenteksti"/>
        <w:rPr>
          <w:lang w:val="sv-SE"/>
        </w:rPr>
      </w:pPr>
      <w:r>
        <w:rPr>
          <w:rStyle w:val="Alaviitteenviite"/>
        </w:rPr>
        <w:footnoteRef/>
      </w:r>
      <w:r w:rsidRPr="006B48F4">
        <w:rPr>
          <w:lang w:val="sv-SE"/>
        </w:rPr>
        <w:t xml:space="preserve"> HRFT 8/2023, s. 91.</w:t>
      </w:r>
    </w:p>
  </w:footnote>
  <w:footnote w:id="52">
    <w:p w14:paraId="0AFFC4E7" w14:textId="22905A7F" w:rsidR="006B48F4" w:rsidRPr="00BD1630" w:rsidRDefault="006B48F4" w:rsidP="00E214D4">
      <w:pPr>
        <w:pStyle w:val="Alaviitteenteksti"/>
        <w:jc w:val="left"/>
        <w:rPr>
          <w:highlight w:val="yellow"/>
        </w:rPr>
      </w:pPr>
      <w:r w:rsidRPr="00B73CB6">
        <w:rPr>
          <w:rStyle w:val="Alaviitteenviite"/>
        </w:rPr>
        <w:footnoteRef/>
      </w:r>
      <w:r w:rsidRPr="006B48F4">
        <w:rPr>
          <w:lang w:val="sv-SE"/>
        </w:rPr>
        <w:t xml:space="preserve"> </w:t>
      </w:r>
      <w:r w:rsidRPr="006B48F4">
        <w:rPr>
          <w:lang w:val="sv-SE"/>
        </w:rPr>
        <w:t xml:space="preserve">Halkların Demokratik Partisi, engl. </w:t>
      </w:r>
      <w:r w:rsidRPr="006F4984">
        <w:t>The Peoples' Democratic Party</w:t>
      </w:r>
      <w:r>
        <w:t>. P</w:t>
      </w:r>
      <w:r w:rsidRPr="00FD3C0B">
        <w:t>uolue ajaa kurdien ja muiden vähemmistöryhmien aseman parantamista</w:t>
      </w:r>
      <w:r>
        <w:t>.</w:t>
      </w:r>
      <w:r w:rsidRPr="00B73CB6">
        <w:t xml:space="preserve"> </w:t>
      </w:r>
      <w:r>
        <w:t>K</w:t>
      </w:r>
      <w:r w:rsidRPr="00B73CB6">
        <w:t>otisivut</w:t>
      </w:r>
      <w:r w:rsidR="006A02F6">
        <w:t xml:space="preserve">: </w:t>
      </w:r>
      <w:hyperlink r:id="rId5" w:history="1">
        <w:r w:rsidRPr="00B73CB6">
          <w:rPr>
            <w:rStyle w:val="Hyperlinkki"/>
          </w:rPr>
          <w:t>https://hdp.org.tr/en/</w:t>
        </w:r>
      </w:hyperlink>
      <w:r w:rsidRPr="00B73CB6">
        <w:t xml:space="preserve"> (käyty 1.3.2024)</w:t>
      </w:r>
    </w:p>
  </w:footnote>
  <w:footnote w:id="53">
    <w:p w14:paraId="113184B9" w14:textId="77777777" w:rsidR="006B48F4" w:rsidRPr="0023576C" w:rsidRDefault="006B48F4" w:rsidP="00E214D4">
      <w:pPr>
        <w:pStyle w:val="Alaviitteenteksti"/>
      </w:pPr>
      <w:r>
        <w:rPr>
          <w:rStyle w:val="Alaviitteenviite"/>
        </w:rPr>
        <w:footnoteRef/>
      </w:r>
      <w:r w:rsidRPr="0023576C">
        <w:t xml:space="preserve"> USDOS 20.3.2023, s. 9.</w:t>
      </w:r>
    </w:p>
  </w:footnote>
  <w:footnote w:id="54">
    <w:p w14:paraId="33BD6687" w14:textId="77777777" w:rsidR="006B48F4" w:rsidRDefault="006B48F4" w:rsidP="000B0CCD">
      <w:pPr>
        <w:pStyle w:val="Alaviitteenteksti"/>
      </w:pPr>
      <w:r>
        <w:rPr>
          <w:rStyle w:val="Alaviitteenviite"/>
        </w:rPr>
        <w:footnoteRef/>
      </w:r>
      <w:r>
        <w:t xml:space="preserve"> </w:t>
      </w:r>
      <w:r w:rsidRPr="00550F51">
        <w:t>Ahval 10.3.2022.</w:t>
      </w:r>
    </w:p>
  </w:footnote>
  <w:footnote w:id="55">
    <w:p w14:paraId="0413212A" w14:textId="77777777" w:rsidR="006B48F4" w:rsidRPr="0023576C" w:rsidRDefault="006B48F4">
      <w:pPr>
        <w:pStyle w:val="Alaviitteenteksti"/>
      </w:pPr>
      <w:r>
        <w:rPr>
          <w:rStyle w:val="Alaviitteenviite"/>
        </w:rPr>
        <w:footnoteRef/>
      </w:r>
      <w:r w:rsidRPr="0023576C">
        <w:t xml:space="preserve"> USDOS 20.3.2023, s. 13.</w:t>
      </w:r>
    </w:p>
  </w:footnote>
  <w:footnote w:id="56">
    <w:p w14:paraId="6CEBECBF" w14:textId="77777777" w:rsidR="006B48F4" w:rsidRDefault="006B48F4">
      <w:pPr>
        <w:pStyle w:val="Alaviitteenteksti"/>
      </w:pPr>
      <w:r>
        <w:rPr>
          <w:rStyle w:val="Alaviitteenviite"/>
        </w:rPr>
        <w:footnoteRef/>
      </w:r>
      <w:r>
        <w:t xml:space="preserve"> </w:t>
      </w:r>
      <w:r w:rsidRPr="00C3786A">
        <w:t>USDOS 20.3.2023, s. 11.</w:t>
      </w:r>
    </w:p>
  </w:footnote>
  <w:footnote w:id="57">
    <w:p w14:paraId="31E646D6" w14:textId="77777777" w:rsidR="006B48F4" w:rsidRPr="00693EAD" w:rsidRDefault="006B48F4" w:rsidP="00E34159">
      <w:pPr>
        <w:pStyle w:val="Alaviitteenteksti"/>
        <w:jc w:val="left"/>
      </w:pPr>
      <w:r>
        <w:rPr>
          <w:rStyle w:val="Alaviitteenviite"/>
        </w:rPr>
        <w:footnoteRef/>
      </w:r>
      <w:r w:rsidRPr="00693EAD">
        <w:t xml:space="preserve"> Human Rights and </w:t>
      </w:r>
      <w:r w:rsidRPr="00693EAD">
        <w:t>Equality Institution of Turkey, oikeusministeriöön liitoksissa ole</w:t>
      </w:r>
      <w:r>
        <w:t>va</w:t>
      </w:r>
      <w:r w:rsidRPr="00693EAD">
        <w:t xml:space="preserve"> ihmisoikeuselin</w:t>
      </w:r>
      <w:r>
        <w:t>, kotisivut:</w:t>
      </w:r>
      <w:r w:rsidRPr="00693EAD">
        <w:t xml:space="preserve"> </w:t>
      </w:r>
      <w:hyperlink r:id="rId6" w:history="1">
        <w:r w:rsidRPr="00693EAD">
          <w:rPr>
            <w:rStyle w:val="Hyperlinkki"/>
          </w:rPr>
          <w:t>https://www.tihek.gov.tr/en</w:t>
        </w:r>
      </w:hyperlink>
      <w:r w:rsidRPr="00693EAD">
        <w:t xml:space="preserve"> (käyty 1.3.2024)</w:t>
      </w:r>
    </w:p>
  </w:footnote>
  <w:footnote w:id="58">
    <w:p w14:paraId="6A384580" w14:textId="77777777" w:rsidR="006B48F4" w:rsidRPr="008969C5" w:rsidRDefault="006B48F4" w:rsidP="00E34159">
      <w:pPr>
        <w:pStyle w:val="Alaviitteenteksti"/>
      </w:pPr>
      <w:r>
        <w:rPr>
          <w:rStyle w:val="Alaviitteenviite"/>
        </w:rPr>
        <w:footnoteRef/>
      </w:r>
      <w:r w:rsidRPr="008969C5">
        <w:t xml:space="preserve"> USDOS 20.3.2023, s. 11.</w:t>
      </w:r>
    </w:p>
  </w:footnote>
  <w:footnote w:id="59">
    <w:p w14:paraId="0BCF1D77" w14:textId="77777777" w:rsidR="006B48F4" w:rsidRPr="008969C5" w:rsidRDefault="006B48F4" w:rsidP="00E34159">
      <w:pPr>
        <w:pStyle w:val="Alaviitteenteksti"/>
      </w:pPr>
      <w:r>
        <w:rPr>
          <w:rStyle w:val="Alaviitteenviite"/>
        </w:rPr>
        <w:footnoteRef/>
      </w:r>
      <w:r w:rsidRPr="008969C5">
        <w:t xml:space="preserve"> </w:t>
      </w:r>
      <w:bookmarkStart w:id="15" w:name="_Hlk160190923"/>
      <w:r w:rsidRPr="008969C5">
        <w:t>USDOS 20.3.2023, s. 11.</w:t>
      </w:r>
      <w:bookmarkEnd w:id="15"/>
    </w:p>
  </w:footnote>
  <w:footnote w:id="60">
    <w:p w14:paraId="48EFD7CC" w14:textId="7EFD5889" w:rsidR="00AB239E" w:rsidRPr="007655AF" w:rsidRDefault="00AB239E" w:rsidP="00AB239E">
      <w:pPr>
        <w:pStyle w:val="Alaviitteenteksti"/>
        <w:rPr>
          <w:lang w:val="en-US"/>
        </w:rPr>
      </w:pPr>
      <w:r>
        <w:rPr>
          <w:rStyle w:val="Alaviitteenviite"/>
        </w:rPr>
        <w:footnoteRef/>
      </w:r>
      <w:r w:rsidRPr="007655AF">
        <w:rPr>
          <w:lang w:val="en-US"/>
        </w:rPr>
        <w:t xml:space="preserve"> HRFT 8/2023, s. 56</w:t>
      </w:r>
      <w:r>
        <w:rPr>
          <w:lang w:val="en-US"/>
        </w:rPr>
        <w:t>, 58</w:t>
      </w:r>
      <w:r w:rsidRPr="007655AF">
        <w:rPr>
          <w:lang w:val="en-US"/>
        </w:rPr>
        <w:t>.</w:t>
      </w:r>
    </w:p>
  </w:footnote>
  <w:footnote w:id="61">
    <w:p w14:paraId="1110D983" w14:textId="77777777" w:rsidR="00AB239E" w:rsidRPr="007655AF" w:rsidRDefault="00AB239E" w:rsidP="00AB239E">
      <w:pPr>
        <w:pStyle w:val="Alaviitteenteksti"/>
        <w:rPr>
          <w:lang w:val="en-US"/>
        </w:rPr>
      </w:pPr>
      <w:r>
        <w:rPr>
          <w:rStyle w:val="Alaviitteenviite"/>
        </w:rPr>
        <w:footnoteRef/>
      </w:r>
      <w:r w:rsidRPr="007655AF">
        <w:rPr>
          <w:lang w:val="en-US"/>
        </w:rPr>
        <w:t xml:space="preserve"> HRFT 8/2023, s. 66.</w:t>
      </w:r>
    </w:p>
  </w:footnote>
  <w:footnote w:id="62">
    <w:p w14:paraId="03AF90F0" w14:textId="77777777" w:rsidR="006B48F4" w:rsidRPr="00AB239E" w:rsidRDefault="006B48F4" w:rsidP="006B48F4">
      <w:pPr>
        <w:pStyle w:val="Alaviitteenteksti"/>
        <w:jc w:val="left"/>
        <w:rPr>
          <w:lang w:val="en-US"/>
        </w:rPr>
      </w:pPr>
      <w:r>
        <w:rPr>
          <w:rStyle w:val="Alaviitteenviite"/>
        </w:rPr>
        <w:footnoteRef/>
      </w:r>
      <w:r w:rsidRPr="00AB239E">
        <w:rPr>
          <w:lang w:val="en-US"/>
        </w:rPr>
        <w:t xml:space="preserve"> SCF 11.5.2020. </w:t>
      </w:r>
    </w:p>
  </w:footnote>
  <w:footnote w:id="63">
    <w:p w14:paraId="0157F25A" w14:textId="77777777" w:rsidR="006B48F4" w:rsidRPr="008969C5" w:rsidRDefault="006B48F4" w:rsidP="006B48F4">
      <w:pPr>
        <w:pStyle w:val="Alaviitteenteksti"/>
      </w:pPr>
      <w:r>
        <w:rPr>
          <w:rStyle w:val="Alaviitteenviite"/>
        </w:rPr>
        <w:footnoteRef/>
      </w:r>
      <w:r w:rsidRPr="008969C5">
        <w:t xml:space="preserve"> USDOS 20.3.2023, s. 6.</w:t>
      </w:r>
    </w:p>
  </w:footnote>
  <w:footnote w:id="64">
    <w:p w14:paraId="25F90BC9" w14:textId="77777777" w:rsidR="006B48F4" w:rsidRPr="00084BA1" w:rsidRDefault="006B48F4" w:rsidP="006B48F4">
      <w:pPr>
        <w:pStyle w:val="Alaviitteenteksti"/>
        <w:jc w:val="left"/>
        <w:rPr>
          <w:lang w:val="en-US"/>
        </w:rPr>
      </w:pPr>
      <w:r>
        <w:rPr>
          <w:rStyle w:val="Alaviitteenviite"/>
        </w:rPr>
        <w:footnoteRef/>
      </w:r>
      <w:r w:rsidRPr="00C37E46">
        <w:rPr>
          <w:lang w:val="en-US"/>
        </w:rPr>
        <w:t xml:space="preserve"> </w:t>
      </w:r>
      <w:r w:rsidRPr="00C37E46">
        <w:rPr>
          <w:lang w:val="en-US"/>
        </w:rPr>
        <w:t>A</w:t>
      </w:r>
      <w:r>
        <w:rPr>
          <w:lang w:val="en-US"/>
        </w:rPr>
        <w:t xml:space="preserve">hval 10.3.2022. </w:t>
      </w:r>
    </w:p>
  </w:footnote>
  <w:footnote w:id="65">
    <w:p w14:paraId="5E45F47D" w14:textId="77777777" w:rsidR="006B48F4" w:rsidRPr="00E75A8A" w:rsidRDefault="006B48F4" w:rsidP="006B48F4">
      <w:pPr>
        <w:pStyle w:val="Alaviitteenteksti"/>
        <w:rPr>
          <w:lang w:val="en-US"/>
        </w:rPr>
      </w:pPr>
      <w:r>
        <w:rPr>
          <w:rStyle w:val="Alaviitteenviite"/>
        </w:rPr>
        <w:footnoteRef/>
      </w:r>
      <w:r w:rsidRPr="00E75A8A">
        <w:rPr>
          <w:lang w:val="en-US"/>
        </w:rPr>
        <w:t xml:space="preserve"> Mo</w:t>
      </w:r>
      <w:r>
        <w:rPr>
          <w:lang w:val="en-US"/>
        </w:rPr>
        <w:t xml:space="preserve">rning Star 1.12.2019. </w:t>
      </w:r>
    </w:p>
  </w:footnote>
  <w:footnote w:id="66">
    <w:p w14:paraId="40CCAE67" w14:textId="77777777" w:rsidR="006B48F4" w:rsidRPr="00C14636" w:rsidRDefault="006B48F4" w:rsidP="003A4004">
      <w:pPr>
        <w:pStyle w:val="Alaviitteenteksti"/>
        <w:rPr>
          <w:lang w:val="en-US"/>
        </w:rPr>
      </w:pPr>
      <w:r>
        <w:rPr>
          <w:rStyle w:val="Alaviitteenviite"/>
        </w:rPr>
        <w:footnoteRef/>
      </w:r>
      <w:r w:rsidRPr="00C14636">
        <w:rPr>
          <w:lang w:val="en-US"/>
        </w:rPr>
        <w:t xml:space="preserve"> USDOS 20.3.2023, s. 10.</w:t>
      </w:r>
    </w:p>
  </w:footnote>
  <w:footnote w:id="67">
    <w:p w14:paraId="61A73B06" w14:textId="77777777" w:rsidR="00F93718" w:rsidRPr="0023576C" w:rsidRDefault="00F93718" w:rsidP="00F93718">
      <w:pPr>
        <w:pStyle w:val="Alaviitteenteksti"/>
        <w:jc w:val="left"/>
        <w:rPr>
          <w:lang w:val="en-US"/>
        </w:rPr>
      </w:pPr>
      <w:r>
        <w:rPr>
          <w:rStyle w:val="Alaviitteenviite"/>
        </w:rPr>
        <w:footnoteRef/>
      </w:r>
      <w:r w:rsidRPr="00C14636">
        <w:rPr>
          <w:lang w:val="en-US"/>
        </w:rPr>
        <w:t xml:space="preserve"> HRW 2024. </w:t>
      </w:r>
    </w:p>
  </w:footnote>
  <w:footnote w:id="68">
    <w:p w14:paraId="074B7A3E" w14:textId="77777777" w:rsidR="006B48F4" w:rsidRPr="0023576C" w:rsidRDefault="006B48F4" w:rsidP="00C37E46">
      <w:pPr>
        <w:pStyle w:val="Alaviitteenteksti"/>
        <w:jc w:val="left"/>
        <w:rPr>
          <w:lang w:val="en-US"/>
        </w:rPr>
      </w:pPr>
      <w:r>
        <w:rPr>
          <w:rStyle w:val="Alaviitteenviite"/>
        </w:rPr>
        <w:footnoteRef/>
      </w:r>
      <w:r w:rsidRPr="00C14636">
        <w:rPr>
          <w:lang w:val="en-US"/>
        </w:rPr>
        <w:t xml:space="preserve"> HRW 2024. </w:t>
      </w:r>
    </w:p>
  </w:footnote>
  <w:footnote w:id="69">
    <w:p w14:paraId="759D5850" w14:textId="77777777" w:rsidR="006B48F4" w:rsidRPr="00EB7EAD" w:rsidRDefault="006B48F4" w:rsidP="003A4004">
      <w:pPr>
        <w:pStyle w:val="Alaviitteenteksti"/>
        <w:rPr>
          <w:lang w:val="en-US"/>
        </w:rPr>
      </w:pPr>
      <w:r>
        <w:rPr>
          <w:rStyle w:val="Alaviitteenviite"/>
        </w:rPr>
        <w:footnoteRef/>
      </w:r>
      <w:r w:rsidRPr="00EB7EAD">
        <w:rPr>
          <w:lang w:val="en-US"/>
        </w:rPr>
        <w:t xml:space="preserve"> </w:t>
      </w:r>
      <w:r w:rsidRPr="00EB7EAD">
        <w:rPr>
          <w:lang w:val="en-US"/>
        </w:rPr>
        <w:t xml:space="preserve">CoE-PACE </w:t>
      </w:r>
      <w:r>
        <w:rPr>
          <w:lang w:val="en-US"/>
        </w:rPr>
        <w:t xml:space="preserve">24.1.2024, s.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B48F4" w:rsidRPr="00A058E4" w14:paraId="32C21ED6" w14:textId="77777777" w:rsidTr="00110B17">
      <w:trPr>
        <w:tblHeader/>
      </w:trPr>
      <w:tc>
        <w:tcPr>
          <w:tcW w:w="3005" w:type="dxa"/>
          <w:tcBorders>
            <w:top w:val="nil"/>
            <w:left w:val="nil"/>
            <w:bottom w:val="nil"/>
            <w:right w:val="nil"/>
          </w:tcBorders>
        </w:tcPr>
        <w:p w14:paraId="368ECCD7" w14:textId="77777777" w:rsidR="006B48F4" w:rsidRPr="00A058E4" w:rsidRDefault="006B48F4">
          <w:pPr>
            <w:pStyle w:val="Yltunniste"/>
            <w:rPr>
              <w:sz w:val="16"/>
              <w:szCs w:val="16"/>
            </w:rPr>
          </w:pPr>
        </w:p>
      </w:tc>
      <w:tc>
        <w:tcPr>
          <w:tcW w:w="3005" w:type="dxa"/>
          <w:tcBorders>
            <w:top w:val="nil"/>
            <w:left w:val="nil"/>
            <w:bottom w:val="nil"/>
            <w:right w:val="nil"/>
          </w:tcBorders>
        </w:tcPr>
        <w:p w14:paraId="1F552BEC" w14:textId="77777777" w:rsidR="006B48F4" w:rsidRPr="00A058E4" w:rsidRDefault="006B48F4">
          <w:pPr>
            <w:pStyle w:val="Yltunniste"/>
            <w:rPr>
              <w:b/>
              <w:sz w:val="16"/>
              <w:szCs w:val="16"/>
            </w:rPr>
          </w:pPr>
        </w:p>
      </w:tc>
      <w:tc>
        <w:tcPr>
          <w:tcW w:w="3006" w:type="dxa"/>
          <w:tcBorders>
            <w:top w:val="nil"/>
            <w:left w:val="nil"/>
            <w:bottom w:val="nil"/>
            <w:right w:val="nil"/>
          </w:tcBorders>
        </w:tcPr>
        <w:p w14:paraId="2182D214" w14:textId="77777777" w:rsidR="006B48F4" w:rsidRPr="001D63F6" w:rsidRDefault="006B48F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6B48F4" w:rsidRPr="00A058E4" w14:paraId="2C02E0B6" w14:textId="77777777" w:rsidTr="00421708">
      <w:tc>
        <w:tcPr>
          <w:tcW w:w="3005" w:type="dxa"/>
          <w:tcBorders>
            <w:top w:val="nil"/>
            <w:left w:val="nil"/>
            <w:bottom w:val="nil"/>
            <w:right w:val="nil"/>
          </w:tcBorders>
        </w:tcPr>
        <w:p w14:paraId="5C25BBDA" w14:textId="77777777" w:rsidR="006B48F4" w:rsidRPr="00A058E4" w:rsidRDefault="006B48F4">
          <w:pPr>
            <w:pStyle w:val="Yltunniste"/>
            <w:rPr>
              <w:sz w:val="16"/>
              <w:szCs w:val="16"/>
            </w:rPr>
          </w:pPr>
        </w:p>
      </w:tc>
      <w:tc>
        <w:tcPr>
          <w:tcW w:w="3005" w:type="dxa"/>
          <w:tcBorders>
            <w:top w:val="nil"/>
            <w:left w:val="nil"/>
            <w:bottom w:val="nil"/>
            <w:right w:val="nil"/>
          </w:tcBorders>
        </w:tcPr>
        <w:p w14:paraId="2EA4784E" w14:textId="77777777" w:rsidR="006B48F4" w:rsidRPr="00A058E4" w:rsidRDefault="006B48F4">
          <w:pPr>
            <w:pStyle w:val="Yltunniste"/>
            <w:rPr>
              <w:sz w:val="16"/>
              <w:szCs w:val="16"/>
            </w:rPr>
          </w:pPr>
        </w:p>
      </w:tc>
      <w:tc>
        <w:tcPr>
          <w:tcW w:w="3006" w:type="dxa"/>
          <w:tcBorders>
            <w:top w:val="nil"/>
            <w:left w:val="nil"/>
            <w:bottom w:val="nil"/>
            <w:right w:val="nil"/>
          </w:tcBorders>
        </w:tcPr>
        <w:p w14:paraId="76A82791" w14:textId="77777777" w:rsidR="006B48F4" w:rsidRPr="00A058E4" w:rsidRDefault="006B48F4" w:rsidP="00A058E4">
          <w:pPr>
            <w:pStyle w:val="Yltunniste"/>
            <w:jc w:val="right"/>
            <w:rPr>
              <w:sz w:val="16"/>
              <w:szCs w:val="16"/>
            </w:rPr>
          </w:pPr>
        </w:p>
      </w:tc>
    </w:tr>
    <w:tr w:rsidR="006B48F4" w:rsidRPr="00A058E4" w14:paraId="3B0E1656" w14:textId="77777777" w:rsidTr="00421708">
      <w:tc>
        <w:tcPr>
          <w:tcW w:w="3005" w:type="dxa"/>
          <w:tcBorders>
            <w:top w:val="nil"/>
            <w:left w:val="nil"/>
            <w:bottom w:val="nil"/>
            <w:right w:val="nil"/>
          </w:tcBorders>
        </w:tcPr>
        <w:p w14:paraId="0573637D" w14:textId="77777777" w:rsidR="006B48F4" w:rsidRPr="00A058E4" w:rsidRDefault="006B48F4">
          <w:pPr>
            <w:pStyle w:val="Yltunniste"/>
            <w:rPr>
              <w:sz w:val="16"/>
              <w:szCs w:val="16"/>
            </w:rPr>
          </w:pPr>
        </w:p>
      </w:tc>
      <w:tc>
        <w:tcPr>
          <w:tcW w:w="3005" w:type="dxa"/>
          <w:tcBorders>
            <w:top w:val="nil"/>
            <w:left w:val="nil"/>
            <w:bottom w:val="nil"/>
            <w:right w:val="nil"/>
          </w:tcBorders>
        </w:tcPr>
        <w:p w14:paraId="36BC5CD2" w14:textId="77777777" w:rsidR="006B48F4" w:rsidRPr="00A058E4" w:rsidRDefault="006B48F4">
          <w:pPr>
            <w:pStyle w:val="Yltunniste"/>
            <w:rPr>
              <w:sz w:val="16"/>
              <w:szCs w:val="16"/>
            </w:rPr>
          </w:pPr>
        </w:p>
      </w:tc>
      <w:tc>
        <w:tcPr>
          <w:tcW w:w="3006" w:type="dxa"/>
          <w:tcBorders>
            <w:top w:val="nil"/>
            <w:left w:val="nil"/>
            <w:bottom w:val="nil"/>
            <w:right w:val="nil"/>
          </w:tcBorders>
        </w:tcPr>
        <w:p w14:paraId="7341B6C8" w14:textId="77777777" w:rsidR="006B48F4" w:rsidRPr="00A058E4" w:rsidRDefault="006B48F4" w:rsidP="00A058E4">
          <w:pPr>
            <w:pStyle w:val="Yltunniste"/>
            <w:jc w:val="right"/>
            <w:rPr>
              <w:sz w:val="16"/>
              <w:szCs w:val="16"/>
            </w:rPr>
          </w:pPr>
        </w:p>
      </w:tc>
    </w:tr>
  </w:tbl>
  <w:p w14:paraId="267BA880" w14:textId="77777777" w:rsidR="006B48F4" w:rsidRDefault="006B48F4">
    <w:pPr>
      <w:pStyle w:val="Yltunniste"/>
    </w:pPr>
    <w:r>
      <w:rPr>
        <w:noProof/>
        <w:sz w:val="16"/>
        <w:szCs w:val="16"/>
        <w:lang w:eastAsia="fi-FI"/>
      </w:rPr>
      <w:drawing>
        <wp:anchor distT="0" distB="0" distL="114300" distR="114300" simplePos="0" relativeHeight="251680768" behindDoc="0" locked="0" layoutInCell="1" allowOverlap="1" wp14:anchorId="1C056446" wp14:editId="15E49099">
          <wp:simplePos x="0" y="0"/>
          <wp:positionH relativeFrom="column">
            <wp:posOffset>-496931</wp:posOffset>
          </wp:positionH>
          <wp:positionV relativeFrom="page">
            <wp:posOffset>333375</wp:posOffset>
          </wp:positionV>
          <wp:extent cx="1870210" cy="827015"/>
          <wp:effectExtent l="0" t="0" r="0" b="0"/>
          <wp:wrapNone/>
          <wp:docPr id="19" name="Picture 19"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6B48F4" w:rsidRPr="00A058E4" w14:paraId="23C72C8B" w14:textId="77777777" w:rsidTr="004B2B44">
      <w:tc>
        <w:tcPr>
          <w:tcW w:w="3005" w:type="dxa"/>
          <w:tcBorders>
            <w:top w:val="nil"/>
            <w:left w:val="nil"/>
            <w:bottom w:val="nil"/>
            <w:right w:val="nil"/>
          </w:tcBorders>
        </w:tcPr>
        <w:p w14:paraId="0F8D5C7B" w14:textId="77777777" w:rsidR="006B48F4" w:rsidRPr="00A058E4" w:rsidRDefault="006B48F4">
          <w:pPr>
            <w:pStyle w:val="Yltunniste"/>
            <w:rPr>
              <w:sz w:val="16"/>
              <w:szCs w:val="16"/>
            </w:rPr>
          </w:pPr>
        </w:p>
      </w:tc>
      <w:tc>
        <w:tcPr>
          <w:tcW w:w="3005" w:type="dxa"/>
          <w:tcBorders>
            <w:top w:val="nil"/>
            <w:left w:val="nil"/>
            <w:bottom w:val="nil"/>
            <w:right w:val="nil"/>
          </w:tcBorders>
        </w:tcPr>
        <w:p w14:paraId="3D2198CD" w14:textId="77777777" w:rsidR="006B48F4" w:rsidRPr="00A058E4" w:rsidRDefault="006B48F4">
          <w:pPr>
            <w:pStyle w:val="Yltunniste"/>
            <w:rPr>
              <w:b/>
              <w:sz w:val="16"/>
              <w:szCs w:val="16"/>
            </w:rPr>
          </w:pPr>
        </w:p>
      </w:tc>
      <w:tc>
        <w:tcPr>
          <w:tcW w:w="3006" w:type="dxa"/>
          <w:tcBorders>
            <w:top w:val="nil"/>
            <w:left w:val="nil"/>
            <w:bottom w:val="nil"/>
            <w:right w:val="nil"/>
          </w:tcBorders>
        </w:tcPr>
        <w:p w14:paraId="4CEFBA34" w14:textId="77777777" w:rsidR="006B48F4" w:rsidRPr="00A058E4" w:rsidRDefault="006B48F4"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6B48F4" w:rsidRPr="00A058E4" w14:paraId="346AD02F" w14:textId="77777777" w:rsidTr="004B2B44">
      <w:tc>
        <w:tcPr>
          <w:tcW w:w="3005" w:type="dxa"/>
          <w:tcBorders>
            <w:top w:val="nil"/>
            <w:left w:val="nil"/>
            <w:bottom w:val="nil"/>
            <w:right w:val="nil"/>
          </w:tcBorders>
        </w:tcPr>
        <w:p w14:paraId="2B048732" w14:textId="77777777" w:rsidR="006B48F4" w:rsidRPr="00A058E4" w:rsidRDefault="006B48F4">
          <w:pPr>
            <w:pStyle w:val="Yltunniste"/>
            <w:rPr>
              <w:sz w:val="16"/>
              <w:szCs w:val="16"/>
            </w:rPr>
          </w:pPr>
        </w:p>
      </w:tc>
      <w:tc>
        <w:tcPr>
          <w:tcW w:w="3005" w:type="dxa"/>
          <w:tcBorders>
            <w:top w:val="nil"/>
            <w:left w:val="nil"/>
            <w:bottom w:val="nil"/>
            <w:right w:val="nil"/>
          </w:tcBorders>
        </w:tcPr>
        <w:p w14:paraId="67C35391" w14:textId="77777777" w:rsidR="006B48F4" w:rsidRPr="00A058E4" w:rsidRDefault="006B48F4">
          <w:pPr>
            <w:pStyle w:val="Yltunniste"/>
            <w:rPr>
              <w:sz w:val="16"/>
              <w:szCs w:val="16"/>
            </w:rPr>
          </w:pPr>
        </w:p>
      </w:tc>
      <w:tc>
        <w:tcPr>
          <w:tcW w:w="3006" w:type="dxa"/>
          <w:tcBorders>
            <w:top w:val="nil"/>
            <w:left w:val="nil"/>
            <w:bottom w:val="nil"/>
            <w:right w:val="nil"/>
          </w:tcBorders>
        </w:tcPr>
        <w:p w14:paraId="4B69C9AD" w14:textId="77777777" w:rsidR="006B48F4" w:rsidRPr="00A058E4" w:rsidRDefault="006B48F4" w:rsidP="00A058E4">
          <w:pPr>
            <w:pStyle w:val="Yltunniste"/>
            <w:jc w:val="right"/>
            <w:rPr>
              <w:sz w:val="16"/>
              <w:szCs w:val="16"/>
            </w:rPr>
          </w:pPr>
        </w:p>
      </w:tc>
    </w:tr>
    <w:tr w:rsidR="006B48F4" w:rsidRPr="00A058E4" w14:paraId="3F2AEF07" w14:textId="77777777" w:rsidTr="004B2B44">
      <w:tc>
        <w:tcPr>
          <w:tcW w:w="3005" w:type="dxa"/>
          <w:tcBorders>
            <w:top w:val="nil"/>
            <w:left w:val="nil"/>
            <w:bottom w:val="nil"/>
            <w:right w:val="nil"/>
          </w:tcBorders>
        </w:tcPr>
        <w:p w14:paraId="00C168DB" w14:textId="77777777" w:rsidR="006B48F4" w:rsidRPr="00A058E4" w:rsidRDefault="006B48F4">
          <w:pPr>
            <w:pStyle w:val="Yltunniste"/>
            <w:rPr>
              <w:sz w:val="16"/>
              <w:szCs w:val="16"/>
            </w:rPr>
          </w:pPr>
        </w:p>
      </w:tc>
      <w:tc>
        <w:tcPr>
          <w:tcW w:w="3005" w:type="dxa"/>
          <w:tcBorders>
            <w:top w:val="nil"/>
            <w:left w:val="nil"/>
            <w:bottom w:val="nil"/>
            <w:right w:val="nil"/>
          </w:tcBorders>
        </w:tcPr>
        <w:p w14:paraId="16E03B81" w14:textId="77777777" w:rsidR="006B48F4" w:rsidRPr="00A058E4" w:rsidRDefault="006B48F4">
          <w:pPr>
            <w:pStyle w:val="Yltunniste"/>
            <w:rPr>
              <w:sz w:val="16"/>
              <w:szCs w:val="16"/>
            </w:rPr>
          </w:pPr>
        </w:p>
      </w:tc>
      <w:tc>
        <w:tcPr>
          <w:tcW w:w="3006" w:type="dxa"/>
          <w:tcBorders>
            <w:top w:val="nil"/>
            <w:left w:val="nil"/>
            <w:bottom w:val="nil"/>
            <w:right w:val="nil"/>
          </w:tcBorders>
        </w:tcPr>
        <w:p w14:paraId="33578235" w14:textId="77777777" w:rsidR="006B48F4" w:rsidRPr="00A058E4" w:rsidRDefault="006B48F4" w:rsidP="00A058E4">
          <w:pPr>
            <w:pStyle w:val="Yltunniste"/>
            <w:jc w:val="right"/>
            <w:rPr>
              <w:sz w:val="16"/>
              <w:szCs w:val="16"/>
            </w:rPr>
          </w:pPr>
        </w:p>
      </w:tc>
    </w:tr>
  </w:tbl>
  <w:p w14:paraId="6D20B17A" w14:textId="77777777" w:rsidR="006B48F4" w:rsidRPr="008020E6" w:rsidRDefault="006B48F4" w:rsidP="00873A37">
    <w:pPr>
      <w:pStyle w:val="Yltunniste"/>
      <w:rPr>
        <w:sz w:val="16"/>
        <w:szCs w:val="16"/>
      </w:rPr>
    </w:pPr>
    <w:r>
      <w:rPr>
        <w:noProof/>
        <w:sz w:val="16"/>
        <w:szCs w:val="16"/>
        <w:lang w:eastAsia="fi-FI"/>
      </w:rPr>
      <w:drawing>
        <wp:anchor distT="0" distB="0" distL="114300" distR="114300" simplePos="0" relativeHeight="251682816" behindDoc="0" locked="0" layoutInCell="1" allowOverlap="1" wp14:anchorId="7C8BF5C6" wp14:editId="2060B5FA">
          <wp:simplePos x="0" y="0"/>
          <wp:positionH relativeFrom="column">
            <wp:posOffset>-506725</wp:posOffset>
          </wp:positionH>
          <wp:positionV relativeFrom="page">
            <wp:posOffset>332387</wp:posOffset>
          </wp:positionV>
          <wp:extent cx="1885998" cy="827015"/>
          <wp:effectExtent l="0" t="0" r="0" b="0"/>
          <wp:wrapNone/>
          <wp:docPr id="5" name="Picture 269" descr="Logo: Maahanmuuttovirasto, Migrationsverket, Finnish Immigr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032299F"/>
    <w:multiLevelType w:val="hybridMultilevel"/>
    <w:tmpl w:val="E6E2EFA4"/>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8F6FFF"/>
    <w:multiLevelType w:val="multilevel"/>
    <w:tmpl w:val="FAD69F5C"/>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FD381B"/>
    <w:multiLevelType w:val="hybridMultilevel"/>
    <w:tmpl w:val="63BA34F2"/>
    <w:lvl w:ilvl="0" w:tplc="74346E1A">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6A2EF7"/>
    <w:multiLevelType w:val="hybridMultilevel"/>
    <w:tmpl w:val="17767706"/>
    <w:lvl w:ilvl="0" w:tplc="9CF4EC10">
      <w:start w:val="1"/>
      <w:numFmt w:val="bullet"/>
      <w:pStyle w:val="Luettelo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035798"/>
    <w:multiLevelType w:val="hybridMultilevel"/>
    <w:tmpl w:val="70584C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817423"/>
    <w:multiLevelType w:val="hybridMultilevel"/>
    <w:tmpl w:val="01F6BC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0D71048"/>
    <w:multiLevelType w:val="hybridMultilevel"/>
    <w:tmpl w:val="905EFB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061CCF"/>
    <w:multiLevelType w:val="hybridMultilevel"/>
    <w:tmpl w:val="B97C4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pStyle w:val="Otsikko2numerolla"/>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B5D44B8"/>
    <w:multiLevelType w:val="hybridMultilevel"/>
    <w:tmpl w:val="FBC65F8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0E0D88"/>
    <w:multiLevelType w:val="hybridMultilevel"/>
    <w:tmpl w:val="38AEC1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9C5BE5"/>
    <w:multiLevelType w:val="multilevel"/>
    <w:tmpl w:val="EF286224"/>
    <w:styleLink w:val="Style1"/>
    <w:lvl w:ilvl="0">
      <w:start w:val="1"/>
      <w:numFmt w:val="decimal"/>
      <w:lvlText w:val="%1"/>
      <w:lvlJc w:val="left"/>
      <w:pPr>
        <w:ind w:left="432" w:hanging="432"/>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08F4ABA"/>
    <w:multiLevelType w:val="hybridMultilevel"/>
    <w:tmpl w:val="3C748D12"/>
    <w:lvl w:ilvl="0" w:tplc="C7AE06B2">
      <w:start w:val="1"/>
      <w:numFmt w:val="decimal"/>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1166D57"/>
    <w:multiLevelType w:val="multilevel"/>
    <w:tmpl w:val="040B0025"/>
    <w:lvl w:ilvl="0">
      <w:start w:val="1"/>
      <w:numFmt w:val="decimal"/>
      <w:pStyle w:val="Otsikko11"/>
      <w:lvlText w:val="%1"/>
      <w:lvlJc w:val="left"/>
      <w:pPr>
        <w:ind w:left="432" w:hanging="432"/>
      </w:pPr>
      <w:rPr>
        <w:rFonts w:hint="default"/>
        <w:b/>
        <w:i w:val="0"/>
        <w:color w:val="auto"/>
        <w:sz w:val="24"/>
      </w:r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1" w15:restartNumberingAfterBreak="0">
    <w:nsid w:val="5B64605C"/>
    <w:multiLevelType w:val="hybridMultilevel"/>
    <w:tmpl w:val="34EEE9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79B859EE"/>
    <w:multiLevelType w:val="hybridMultilevel"/>
    <w:tmpl w:val="92C2A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B2339F1"/>
    <w:multiLevelType w:val="hybridMultilevel"/>
    <w:tmpl w:val="5FA0E69E"/>
    <w:lvl w:ilvl="0" w:tplc="2DC07D4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multilevel"/>
    <w:tmpl w:val="EF286224"/>
    <w:numStyleLink w:val="Style1"/>
  </w:abstractNum>
  <w:abstractNum w:abstractNumId="2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8"/>
  </w:num>
  <w:num w:numId="2">
    <w:abstractNumId w:val="24"/>
  </w:num>
  <w:num w:numId="3">
    <w:abstractNumId w:val="15"/>
  </w:num>
  <w:num w:numId="4">
    <w:abstractNumId w:val="13"/>
  </w:num>
  <w:num w:numId="5">
    <w:abstractNumId w:val="11"/>
  </w:num>
  <w:num w:numId="6">
    <w:abstractNumId w:val="18"/>
  </w:num>
  <w:num w:numId="7">
    <w:abstractNumId w:val="23"/>
  </w:num>
  <w:num w:numId="8">
    <w:abstractNumId w:val="22"/>
  </w:num>
  <w:num w:numId="9">
    <w:abstractNumId w:val="22"/>
    <w:lvlOverride w:ilvl="0">
      <w:startOverride w:val="1"/>
    </w:lvlOverride>
  </w:num>
  <w:num w:numId="10">
    <w:abstractNumId w:val="12"/>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0"/>
  </w:num>
  <w:num w:numId="15">
    <w:abstractNumId w:val="2"/>
  </w:num>
  <w:num w:numId="16">
    <w:abstractNumId w:val="2"/>
  </w:num>
  <w:num w:numId="17">
    <w:abstractNumId w:val="1"/>
  </w:num>
  <w:num w:numId="18">
    <w:abstractNumId w:val="20"/>
  </w:num>
  <w:num w:numId="19">
    <w:abstractNumId w:val="19"/>
  </w:num>
  <w:num w:numId="20">
    <w:abstractNumId w:val="27"/>
  </w:num>
  <w:num w:numId="21">
    <w:abstractNumId w:val="6"/>
  </w:num>
  <w:num w:numId="22">
    <w:abstractNumId w:val="25"/>
  </w:num>
  <w:num w:numId="23">
    <w:abstractNumId w:val="4"/>
  </w:num>
  <w:num w:numId="24">
    <w:abstractNumId w:val="8"/>
  </w:num>
  <w:num w:numId="25">
    <w:abstractNumId w:val="0"/>
  </w:num>
  <w:num w:numId="26">
    <w:abstractNumId w:val="26"/>
  </w:num>
  <w:num w:numId="27">
    <w:abstractNumId w:val="9"/>
  </w:num>
  <w:num w:numId="28">
    <w:abstractNumId w:val="5"/>
  </w:num>
  <w:num w:numId="29">
    <w:abstractNumId w:val="17"/>
  </w:num>
  <w:num w:numId="30">
    <w:abstractNumId w:val="3"/>
  </w:num>
  <w:num w:numId="31">
    <w:abstractNumId w:val="3"/>
  </w:num>
  <w:num w:numId="32">
    <w:abstractNumId w:val="3"/>
  </w:num>
  <w:num w:numId="33">
    <w:abstractNumId w:val="3"/>
  </w:num>
  <w:num w:numId="34">
    <w:abstractNumId w:val="16"/>
  </w:num>
  <w:num w:numId="35">
    <w:abstractNumId w:val="14"/>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FF"/>
    <w:rsid w:val="00010B9D"/>
    <w:rsid w:val="00010C97"/>
    <w:rsid w:val="000114D3"/>
    <w:rsid w:val="0001289F"/>
    <w:rsid w:val="00012EC0"/>
    <w:rsid w:val="00013B40"/>
    <w:rsid w:val="00013F3D"/>
    <w:rsid w:val="000140FF"/>
    <w:rsid w:val="00022D94"/>
    <w:rsid w:val="00023864"/>
    <w:rsid w:val="00027466"/>
    <w:rsid w:val="00043D7E"/>
    <w:rsid w:val="000449EA"/>
    <w:rsid w:val="000455E3"/>
    <w:rsid w:val="00046783"/>
    <w:rsid w:val="00046BCD"/>
    <w:rsid w:val="00053977"/>
    <w:rsid w:val="000564EB"/>
    <w:rsid w:val="000663E8"/>
    <w:rsid w:val="0007094E"/>
    <w:rsid w:val="00072438"/>
    <w:rsid w:val="00077010"/>
    <w:rsid w:val="00082DFE"/>
    <w:rsid w:val="00084BA1"/>
    <w:rsid w:val="00086482"/>
    <w:rsid w:val="0009323F"/>
    <w:rsid w:val="000A4BA6"/>
    <w:rsid w:val="000A60F6"/>
    <w:rsid w:val="000B0CCD"/>
    <w:rsid w:val="000B7ABB"/>
    <w:rsid w:val="000C591B"/>
    <w:rsid w:val="000D45F8"/>
    <w:rsid w:val="000E0B2E"/>
    <w:rsid w:val="000E1A4B"/>
    <w:rsid w:val="000E2D54"/>
    <w:rsid w:val="000E41BA"/>
    <w:rsid w:val="000E693C"/>
    <w:rsid w:val="000F4AD8"/>
    <w:rsid w:val="000F6F25"/>
    <w:rsid w:val="000F793B"/>
    <w:rsid w:val="001003BA"/>
    <w:rsid w:val="00110468"/>
    <w:rsid w:val="00110B17"/>
    <w:rsid w:val="00117EA9"/>
    <w:rsid w:val="00126F82"/>
    <w:rsid w:val="00131B7A"/>
    <w:rsid w:val="001360E5"/>
    <w:rsid w:val="001366EE"/>
    <w:rsid w:val="00136FEB"/>
    <w:rsid w:val="001413AD"/>
    <w:rsid w:val="0014670E"/>
    <w:rsid w:val="0015362E"/>
    <w:rsid w:val="001678AD"/>
    <w:rsid w:val="00174197"/>
    <w:rsid w:val="001741CB"/>
    <w:rsid w:val="001755B7"/>
    <w:rsid w:val="001758C8"/>
    <w:rsid w:val="00192FA7"/>
    <w:rsid w:val="0019524D"/>
    <w:rsid w:val="00195763"/>
    <w:rsid w:val="001A4752"/>
    <w:rsid w:val="001B2917"/>
    <w:rsid w:val="001B4147"/>
    <w:rsid w:val="001B5A04"/>
    <w:rsid w:val="001B6B07"/>
    <w:rsid w:val="001B7B9C"/>
    <w:rsid w:val="001C0382"/>
    <w:rsid w:val="001C3EB2"/>
    <w:rsid w:val="001C422A"/>
    <w:rsid w:val="001D015C"/>
    <w:rsid w:val="001D1831"/>
    <w:rsid w:val="001D587F"/>
    <w:rsid w:val="001D5CAA"/>
    <w:rsid w:val="001D63F6"/>
    <w:rsid w:val="001E21A8"/>
    <w:rsid w:val="001E4E40"/>
    <w:rsid w:val="001F1B08"/>
    <w:rsid w:val="00204570"/>
    <w:rsid w:val="00206DFC"/>
    <w:rsid w:val="002248A2"/>
    <w:rsid w:val="00224FD6"/>
    <w:rsid w:val="0022712B"/>
    <w:rsid w:val="00231EA0"/>
    <w:rsid w:val="002350CB"/>
    <w:rsid w:val="0023576C"/>
    <w:rsid w:val="00237C15"/>
    <w:rsid w:val="002453B9"/>
    <w:rsid w:val="00252F50"/>
    <w:rsid w:val="00253B21"/>
    <w:rsid w:val="00254C6F"/>
    <w:rsid w:val="002571E9"/>
    <w:rsid w:val="002629C5"/>
    <w:rsid w:val="00263F87"/>
    <w:rsid w:val="00267906"/>
    <w:rsid w:val="00267E88"/>
    <w:rsid w:val="00272D9D"/>
    <w:rsid w:val="002A4267"/>
    <w:rsid w:val="002A6054"/>
    <w:rsid w:val="002A768E"/>
    <w:rsid w:val="002B4F5C"/>
    <w:rsid w:val="002B5E48"/>
    <w:rsid w:val="002C2668"/>
    <w:rsid w:val="002C3DF7"/>
    <w:rsid w:val="002C4FEA"/>
    <w:rsid w:val="002C644F"/>
    <w:rsid w:val="002C656A"/>
    <w:rsid w:val="002D0032"/>
    <w:rsid w:val="002D4104"/>
    <w:rsid w:val="002D70EF"/>
    <w:rsid w:val="002D7383"/>
    <w:rsid w:val="002E0B87"/>
    <w:rsid w:val="002E7DCF"/>
    <w:rsid w:val="002F0687"/>
    <w:rsid w:val="003077A4"/>
    <w:rsid w:val="003135FC"/>
    <w:rsid w:val="00313CBC"/>
    <w:rsid w:val="00313CBF"/>
    <w:rsid w:val="00316660"/>
    <w:rsid w:val="0032021E"/>
    <w:rsid w:val="003226F0"/>
    <w:rsid w:val="00333BEA"/>
    <w:rsid w:val="00335D68"/>
    <w:rsid w:val="0033622F"/>
    <w:rsid w:val="00337E76"/>
    <w:rsid w:val="00342A30"/>
    <w:rsid w:val="00351B7D"/>
    <w:rsid w:val="00354584"/>
    <w:rsid w:val="003673C0"/>
    <w:rsid w:val="00370E4F"/>
    <w:rsid w:val="00373713"/>
    <w:rsid w:val="0037570C"/>
    <w:rsid w:val="00376326"/>
    <w:rsid w:val="00377AEB"/>
    <w:rsid w:val="0038473B"/>
    <w:rsid w:val="00385B1D"/>
    <w:rsid w:val="00386B83"/>
    <w:rsid w:val="00386EDE"/>
    <w:rsid w:val="003872C5"/>
    <w:rsid w:val="00390DB7"/>
    <w:rsid w:val="0039232D"/>
    <w:rsid w:val="00395DAB"/>
    <w:rsid w:val="003964A3"/>
    <w:rsid w:val="003976AD"/>
    <w:rsid w:val="003A4004"/>
    <w:rsid w:val="003B144B"/>
    <w:rsid w:val="003B3150"/>
    <w:rsid w:val="003C128E"/>
    <w:rsid w:val="003C4049"/>
    <w:rsid w:val="003C5382"/>
    <w:rsid w:val="003D0AB9"/>
    <w:rsid w:val="003D4732"/>
    <w:rsid w:val="003F5BFA"/>
    <w:rsid w:val="004045B4"/>
    <w:rsid w:val="00410407"/>
    <w:rsid w:val="0041667A"/>
    <w:rsid w:val="00421708"/>
    <w:rsid w:val="00421A4F"/>
    <w:rsid w:val="004221B0"/>
    <w:rsid w:val="00423E56"/>
    <w:rsid w:val="00423E94"/>
    <w:rsid w:val="0043343B"/>
    <w:rsid w:val="0043717D"/>
    <w:rsid w:val="00440722"/>
    <w:rsid w:val="004460C6"/>
    <w:rsid w:val="0045147C"/>
    <w:rsid w:val="00455BDE"/>
    <w:rsid w:val="00460ADC"/>
    <w:rsid w:val="004621EA"/>
    <w:rsid w:val="00465DC6"/>
    <w:rsid w:val="0047544F"/>
    <w:rsid w:val="004756F5"/>
    <w:rsid w:val="00483E37"/>
    <w:rsid w:val="0048544A"/>
    <w:rsid w:val="004A378B"/>
    <w:rsid w:val="004A3E23"/>
    <w:rsid w:val="004A7209"/>
    <w:rsid w:val="004B0943"/>
    <w:rsid w:val="004B2B44"/>
    <w:rsid w:val="004B34E1"/>
    <w:rsid w:val="004C1C47"/>
    <w:rsid w:val="004C23F9"/>
    <w:rsid w:val="004D5E1B"/>
    <w:rsid w:val="004D7499"/>
    <w:rsid w:val="004D76E3"/>
    <w:rsid w:val="004E2BE1"/>
    <w:rsid w:val="004E598B"/>
    <w:rsid w:val="004F15C9"/>
    <w:rsid w:val="004F28FE"/>
    <w:rsid w:val="004F4078"/>
    <w:rsid w:val="004F5581"/>
    <w:rsid w:val="005121AE"/>
    <w:rsid w:val="005140AB"/>
    <w:rsid w:val="00525360"/>
    <w:rsid w:val="00527E87"/>
    <w:rsid w:val="00535AB6"/>
    <w:rsid w:val="00543B88"/>
    <w:rsid w:val="00543F66"/>
    <w:rsid w:val="00550F51"/>
    <w:rsid w:val="00554136"/>
    <w:rsid w:val="00554A7A"/>
    <w:rsid w:val="0055582F"/>
    <w:rsid w:val="00555E75"/>
    <w:rsid w:val="00556532"/>
    <w:rsid w:val="005642B5"/>
    <w:rsid w:val="0056613C"/>
    <w:rsid w:val="00566672"/>
    <w:rsid w:val="005719F7"/>
    <w:rsid w:val="005814A1"/>
    <w:rsid w:val="00583FE4"/>
    <w:rsid w:val="00594CFC"/>
    <w:rsid w:val="005A309A"/>
    <w:rsid w:val="005A3BA5"/>
    <w:rsid w:val="005B00BB"/>
    <w:rsid w:val="005B0585"/>
    <w:rsid w:val="005B3A3F"/>
    <w:rsid w:val="005B3A6B"/>
    <w:rsid w:val="005B47D8"/>
    <w:rsid w:val="005B6C91"/>
    <w:rsid w:val="005D3A33"/>
    <w:rsid w:val="005D7EB5"/>
    <w:rsid w:val="005E2BC1"/>
    <w:rsid w:val="005F163B"/>
    <w:rsid w:val="0060063B"/>
    <w:rsid w:val="00601F27"/>
    <w:rsid w:val="00606571"/>
    <w:rsid w:val="00613331"/>
    <w:rsid w:val="00620595"/>
    <w:rsid w:val="006220A3"/>
    <w:rsid w:val="00627C21"/>
    <w:rsid w:val="00633597"/>
    <w:rsid w:val="00633BBD"/>
    <w:rsid w:val="00634FEB"/>
    <w:rsid w:val="0064460B"/>
    <w:rsid w:val="0064589F"/>
    <w:rsid w:val="0065072E"/>
    <w:rsid w:val="00650DD6"/>
    <w:rsid w:val="00655C4C"/>
    <w:rsid w:val="00655D1C"/>
    <w:rsid w:val="00662B56"/>
    <w:rsid w:val="00666FD6"/>
    <w:rsid w:val="00671041"/>
    <w:rsid w:val="00677540"/>
    <w:rsid w:val="00686CF3"/>
    <w:rsid w:val="0069181E"/>
    <w:rsid w:val="00693EAD"/>
    <w:rsid w:val="006A0221"/>
    <w:rsid w:val="006A02F6"/>
    <w:rsid w:val="006A1710"/>
    <w:rsid w:val="006A2F5D"/>
    <w:rsid w:val="006A3AD2"/>
    <w:rsid w:val="006A4F5F"/>
    <w:rsid w:val="006B1508"/>
    <w:rsid w:val="006B3E85"/>
    <w:rsid w:val="006B4626"/>
    <w:rsid w:val="006B48F4"/>
    <w:rsid w:val="006C7A99"/>
    <w:rsid w:val="006D3068"/>
    <w:rsid w:val="006E7D0B"/>
    <w:rsid w:val="006F0B7C"/>
    <w:rsid w:val="006F4984"/>
    <w:rsid w:val="0070377D"/>
    <w:rsid w:val="007168DA"/>
    <w:rsid w:val="007212A4"/>
    <w:rsid w:val="00723843"/>
    <w:rsid w:val="0073068A"/>
    <w:rsid w:val="007401BC"/>
    <w:rsid w:val="0074104A"/>
    <w:rsid w:val="0074158A"/>
    <w:rsid w:val="00751EBB"/>
    <w:rsid w:val="00762A49"/>
    <w:rsid w:val="00772240"/>
    <w:rsid w:val="007802C9"/>
    <w:rsid w:val="00785D58"/>
    <w:rsid w:val="00796E05"/>
    <w:rsid w:val="007B2D20"/>
    <w:rsid w:val="007C057B"/>
    <w:rsid w:val="007C1151"/>
    <w:rsid w:val="007C25EB"/>
    <w:rsid w:val="007C4B6F"/>
    <w:rsid w:val="007C5BB2"/>
    <w:rsid w:val="007E0069"/>
    <w:rsid w:val="00800AA9"/>
    <w:rsid w:val="008020E6"/>
    <w:rsid w:val="00803B42"/>
    <w:rsid w:val="00810134"/>
    <w:rsid w:val="008202C1"/>
    <w:rsid w:val="00820E0F"/>
    <w:rsid w:val="008350F0"/>
    <w:rsid w:val="00835734"/>
    <w:rsid w:val="0084029C"/>
    <w:rsid w:val="00845940"/>
    <w:rsid w:val="00846C2B"/>
    <w:rsid w:val="00852DD4"/>
    <w:rsid w:val="008571C0"/>
    <w:rsid w:val="00860C12"/>
    <w:rsid w:val="0087371C"/>
    <w:rsid w:val="00873A37"/>
    <w:rsid w:val="008755BF"/>
    <w:rsid w:val="0089534E"/>
    <w:rsid w:val="008969C5"/>
    <w:rsid w:val="008A3BB0"/>
    <w:rsid w:val="008B23D2"/>
    <w:rsid w:val="008B2637"/>
    <w:rsid w:val="008B44DF"/>
    <w:rsid w:val="008B4C53"/>
    <w:rsid w:val="008C3171"/>
    <w:rsid w:val="008C3FF0"/>
    <w:rsid w:val="008C6A0E"/>
    <w:rsid w:val="008D59C9"/>
    <w:rsid w:val="008D79FB"/>
    <w:rsid w:val="008E0129"/>
    <w:rsid w:val="008E1575"/>
    <w:rsid w:val="008E42BF"/>
    <w:rsid w:val="008F20FD"/>
    <w:rsid w:val="008F2AAB"/>
    <w:rsid w:val="008F4027"/>
    <w:rsid w:val="0090479F"/>
    <w:rsid w:val="0090630D"/>
    <w:rsid w:val="0091541E"/>
    <w:rsid w:val="009170B9"/>
    <w:rsid w:val="00921274"/>
    <w:rsid w:val="009230EE"/>
    <w:rsid w:val="009379B0"/>
    <w:rsid w:val="00941FAB"/>
    <w:rsid w:val="00952982"/>
    <w:rsid w:val="00952BFD"/>
    <w:rsid w:val="00966541"/>
    <w:rsid w:val="00970806"/>
    <w:rsid w:val="009751A5"/>
    <w:rsid w:val="00980F1C"/>
    <w:rsid w:val="00981808"/>
    <w:rsid w:val="009B45AC"/>
    <w:rsid w:val="009B606B"/>
    <w:rsid w:val="009B7373"/>
    <w:rsid w:val="009B790E"/>
    <w:rsid w:val="009C1BE4"/>
    <w:rsid w:val="009D26CC"/>
    <w:rsid w:val="009D2D0D"/>
    <w:rsid w:val="009D3094"/>
    <w:rsid w:val="009D44A2"/>
    <w:rsid w:val="009D73D5"/>
    <w:rsid w:val="009D7B23"/>
    <w:rsid w:val="009E0F44"/>
    <w:rsid w:val="009E2D98"/>
    <w:rsid w:val="009E3B08"/>
    <w:rsid w:val="009E3C92"/>
    <w:rsid w:val="009F0E3A"/>
    <w:rsid w:val="00A04FF1"/>
    <w:rsid w:val="00A058E4"/>
    <w:rsid w:val="00A25DD9"/>
    <w:rsid w:val="00A265B8"/>
    <w:rsid w:val="00A353E6"/>
    <w:rsid w:val="00A35BCB"/>
    <w:rsid w:val="00A522BB"/>
    <w:rsid w:val="00A6466D"/>
    <w:rsid w:val="00A744EF"/>
    <w:rsid w:val="00A74713"/>
    <w:rsid w:val="00A7678F"/>
    <w:rsid w:val="00A8295C"/>
    <w:rsid w:val="00A86496"/>
    <w:rsid w:val="00A900EA"/>
    <w:rsid w:val="00A930CB"/>
    <w:rsid w:val="00A93B2D"/>
    <w:rsid w:val="00A9661C"/>
    <w:rsid w:val="00AA71F7"/>
    <w:rsid w:val="00AB239E"/>
    <w:rsid w:val="00AC4FDE"/>
    <w:rsid w:val="00AC5E4B"/>
    <w:rsid w:val="00AE08A1"/>
    <w:rsid w:val="00AE21E8"/>
    <w:rsid w:val="00AE54AA"/>
    <w:rsid w:val="00AE7C7B"/>
    <w:rsid w:val="00AF03BC"/>
    <w:rsid w:val="00B00E14"/>
    <w:rsid w:val="00B0234C"/>
    <w:rsid w:val="00B07C42"/>
    <w:rsid w:val="00B10323"/>
    <w:rsid w:val="00B112B8"/>
    <w:rsid w:val="00B33381"/>
    <w:rsid w:val="00B338B3"/>
    <w:rsid w:val="00B37882"/>
    <w:rsid w:val="00B529CE"/>
    <w:rsid w:val="00B52A4D"/>
    <w:rsid w:val="00B52DD7"/>
    <w:rsid w:val="00B65278"/>
    <w:rsid w:val="00B70293"/>
    <w:rsid w:val="00B73CB6"/>
    <w:rsid w:val="00B7440B"/>
    <w:rsid w:val="00B95DA4"/>
    <w:rsid w:val="00B96A72"/>
    <w:rsid w:val="00BA2164"/>
    <w:rsid w:val="00BB0B29"/>
    <w:rsid w:val="00BB785D"/>
    <w:rsid w:val="00BB7F45"/>
    <w:rsid w:val="00BC1CB7"/>
    <w:rsid w:val="00BC367A"/>
    <w:rsid w:val="00BD1630"/>
    <w:rsid w:val="00BD5591"/>
    <w:rsid w:val="00BE0837"/>
    <w:rsid w:val="00BE2758"/>
    <w:rsid w:val="00BE608B"/>
    <w:rsid w:val="00BE7E5C"/>
    <w:rsid w:val="00BF744C"/>
    <w:rsid w:val="00BF7819"/>
    <w:rsid w:val="00C06A16"/>
    <w:rsid w:val="00C06FCB"/>
    <w:rsid w:val="00C1035E"/>
    <w:rsid w:val="00C112FB"/>
    <w:rsid w:val="00C113F2"/>
    <w:rsid w:val="00C1302F"/>
    <w:rsid w:val="00C14636"/>
    <w:rsid w:val="00C16602"/>
    <w:rsid w:val="00C25F4A"/>
    <w:rsid w:val="00C312C8"/>
    <w:rsid w:val="00C348A3"/>
    <w:rsid w:val="00C3786A"/>
    <w:rsid w:val="00C37E46"/>
    <w:rsid w:val="00C40C80"/>
    <w:rsid w:val="00C448B6"/>
    <w:rsid w:val="00C44A47"/>
    <w:rsid w:val="00C71280"/>
    <w:rsid w:val="00C73B94"/>
    <w:rsid w:val="00C747DB"/>
    <w:rsid w:val="00C90D86"/>
    <w:rsid w:val="00C94FC7"/>
    <w:rsid w:val="00C95A8B"/>
    <w:rsid w:val="00CB11B5"/>
    <w:rsid w:val="00CB7B28"/>
    <w:rsid w:val="00CC1FA7"/>
    <w:rsid w:val="00CC25B9"/>
    <w:rsid w:val="00CC3CAE"/>
    <w:rsid w:val="00CD21F8"/>
    <w:rsid w:val="00CD5607"/>
    <w:rsid w:val="00CE20C6"/>
    <w:rsid w:val="00CE26C7"/>
    <w:rsid w:val="00CE3751"/>
    <w:rsid w:val="00CF712C"/>
    <w:rsid w:val="00D130E2"/>
    <w:rsid w:val="00D152E0"/>
    <w:rsid w:val="00D15C6E"/>
    <w:rsid w:val="00D171E5"/>
    <w:rsid w:val="00D205C8"/>
    <w:rsid w:val="00D24D52"/>
    <w:rsid w:val="00D26727"/>
    <w:rsid w:val="00D31BE6"/>
    <w:rsid w:val="00D31D2C"/>
    <w:rsid w:val="00D37291"/>
    <w:rsid w:val="00D47232"/>
    <w:rsid w:val="00D6472E"/>
    <w:rsid w:val="00D724F3"/>
    <w:rsid w:val="00D80CF9"/>
    <w:rsid w:val="00D85581"/>
    <w:rsid w:val="00D93433"/>
    <w:rsid w:val="00D9702B"/>
    <w:rsid w:val="00DB1E92"/>
    <w:rsid w:val="00DB256D"/>
    <w:rsid w:val="00DC1073"/>
    <w:rsid w:val="00DC5480"/>
    <w:rsid w:val="00DC565C"/>
    <w:rsid w:val="00DC6391"/>
    <w:rsid w:val="00DC6CD6"/>
    <w:rsid w:val="00DC729C"/>
    <w:rsid w:val="00DD0451"/>
    <w:rsid w:val="00DD2A80"/>
    <w:rsid w:val="00DE1C15"/>
    <w:rsid w:val="00DE3B87"/>
    <w:rsid w:val="00DF4C39"/>
    <w:rsid w:val="00E002A5"/>
    <w:rsid w:val="00E0146F"/>
    <w:rsid w:val="00E01537"/>
    <w:rsid w:val="00E100BE"/>
    <w:rsid w:val="00E10F4B"/>
    <w:rsid w:val="00E15EE7"/>
    <w:rsid w:val="00E214D4"/>
    <w:rsid w:val="00E34159"/>
    <w:rsid w:val="00E37B7C"/>
    <w:rsid w:val="00E424D1"/>
    <w:rsid w:val="00E44896"/>
    <w:rsid w:val="00E5437B"/>
    <w:rsid w:val="00E61ADE"/>
    <w:rsid w:val="00E61B04"/>
    <w:rsid w:val="00E6371A"/>
    <w:rsid w:val="00E64CFC"/>
    <w:rsid w:val="00E66BD8"/>
    <w:rsid w:val="00E72EDE"/>
    <w:rsid w:val="00E75A8A"/>
    <w:rsid w:val="00E81AA4"/>
    <w:rsid w:val="00E85A0F"/>
    <w:rsid w:val="00E85D86"/>
    <w:rsid w:val="00E9185D"/>
    <w:rsid w:val="00E9759C"/>
    <w:rsid w:val="00EA211A"/>
    <w:rsid w:val="00EA4FE4"/>
    <w:rsid w:val="00EA65C2"/>
    <w:rsid w:val="00EB031A"/>
    <w:rsid w:val="00EB0BB5"/>
    <w:rsid w:val="00EB347C"/>
    <w:rsid w:val="00EB6C6D"/>
    <w:rsid w:val="00EB7EAD"/>
    <w:rsid w:val="00EC45CF"/>
    <w:rsid w:val="00EC76FF"/>
    <w:rsid w:val="00ED040E"/>
    <w:rsid w:val="00ED148F"/>
    <w:rsid w:val="00EF6FCF"/>
    <w:rsid w:val="00F04424"/>
    <w:rsid w:val="00F04AE6"/>
    <w:rsid w:val="00F17048"/>
    <w:rsid w:val="00F24CAB"/>
    <w:rsid w:val="00F30C35"/>
    <w:rsid w:val="00F33D15"/>
    <w:rsid w:val="00F40646"/>
    <w:rsid w:val="00F43553"/>
    <w:rsid w:val="00F50B13"/>
    <w:rsid w:val="00F57627"/>
    <w:rsid w:val="00F613AB"/>
    <w:rsid w:val="00F61D61"/>
    <w:rsid w:val="00F75550"/>
    <w:rsid w:val="00F81E6B"/>
    <w:rsid w:val="00F82F9C"/>
    <w:rsid w:val="00F93718"/>
    <w:rsid w:val="00F937B6"/>
    <w:rsid w:val="00F9400E"/>
    <w:rsid w:val="00FA399C"/>
    <w:rsid w:val="00FB0239"/>
    <w:rsid w:val="00FB090D"/>
    <w:rsid w:val="00FB4752"/>
    <w:rsid w:val="00FC0084"/>
    <w:rsid w:val="00FC5669"/>
    <w:rsid w:val="00FC6822"/>
    <w:rsid w:val="00FD3C0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7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E9759C"/>
    <w:pPr>
      <w:spacing w:before="160" w:line="260" w:lineRule="exact"/>
      <w:jc w:val="both"/>
    </w:pPr>
    <w:rPr>
      <w:rFonts w:ascii="Century Gothic" w:hAnsi="Century Gothic"/>
      <w:sz w:val="20"/>
    </w:rPr>
  </w:style>
  <w:style w:type="paragraph" w:styleId="Otsikko1">
    <w:name w:val="heading 1"/>
    <w:basedOn w:val="Normaali"/>
    <w:next w:val="Normaali"/>
    <w:link w:val="Otsikko1Char"/>
    <w:autoRedefine/>
    <w:qFormat/>
    <w:rsid w:val="009751A5"/>
    <w:pPr>
      <w:keepNext/>
      <w:numPr>
        <w:numId w:val="33"/>
      </w:numPr>
      <w:spacing w:before="240" w:after="240" w:line="360" w:lineRule="exact"/>
      <w:jc w:val="left"/>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autoRedefine/>
    <w:uiPriority w:val="9"/>
    <w:unhideWhenUsed/>
    <w:qFormat/>
    <w:rsid w:val="00DE3B87"/>
    <w:pPr>
      <w:keepNext/>
      <w:keepLines/>
      <w:numPr>
        <w:ilvl w:val="1"/>
        <w:numId w:val="30"/>
      </w:numPr>
      <w:spacing w:before="240" w:after="240" w:line="320" w:lineRule="exact"/>
      <w:ind w:left="1152"/>
      <w:jc w:val="left"/>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DE3B87"/>
    <w:pPr>
      <w:keepNext/>
      <w:keepLines/>
      <w:numPr>
        <w:ilvl w:val="2"/>
        <w:numId w:val="33"/>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DE3B87"/>
    <w:pPr>
      <w:keepNext/>
      <w:keepLines/>
      <w:numPr>
        <w:ilvl w:val="3"/>
        <w:numId w:val="33"/>
      </w:numPr>
      <w:spacing w:before="240" w:after="240"/>
      <w:outlineLvl w:val="3"/>
    </w:pPr>
    <w:rPr>
      <w:rFonts w:eastAsiaTheme="majorEastAsia" w:cstheme="majorBidi"/>
      <w:b/>
      <w:iCs/>
      <w:color w:val="000000" w:themeColor="text1"/>
    </w:rPr>
  </w:style>
  <w:style w:type="paragraph" w:styleId="Otsikko5">
    <w:name w:val="heading 5"/>
    <w:basedOn w:val="Normaali"/>
    <w:next w:val="Normaali"/>
    <w:link w:val="Otsikko5Char"/>
    <w:uiPriority w:val="9"/>
    <w:semiHidden/>
    <w:unhideWhenUsed/>
    <w:rsid w:val="00772240"/>
    <w:pPr>
      <w:keepNext/>
      <w:keepLines/>
      <w:spacing w:before="40" w:after="0"/>
      <w:outlineLvl w:val="4"/>
    </w:pPr>
    <w:rPr>
      <w:rFonts w:asciiTheme="majorHAnsi" w:eastAsiaTheme="majorEastAsia" w:hAnsiTheme="majorHAnsi" w:cstheme="majorBidi"/>
      <w:color w:val="002D7B"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751A5"/>
    <w:rPr>
      <w:rFonts w:ascii="Century Gothic" w:eastAsiaTheme="majorEastAsia" w:hAnsi="Century Gothic" w:cstheme="majorBidi"/>
      <w:b/>
      <w:color w:val="000000" w:themeColor="text1"/>
      <w:sz w:val="28"/>
      <w:szCs w:val="32"/>
    </w:rPr>
  </w:style>
  <w:style w:type="character" w:customStyle="1" w:styleId="Otsikko2Char">
    <w:name w:val="Otsikko 2 Char"/>
    <w:basedOn w:val="Kappaleenoletusfontti"/>
    <w:link w:val="Otsikko2"/>
    <w:uiPriority w:val="9"/>
    <w:rsid w:val="00DE3B8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link w:val="LeiptekstiMigriChar"/>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pPr>
      <w:numPr>
        <w:numId w:val="0"/>
      </w:numPr>
    </w:pPr>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Otsikko1"/>
    <w:next w:val="Normaali"/>
    <w:link w:val="POTSIKKOChar"/>
    <w:qFormat/>
    <w:rsid w:val="00A8295C"/>
    <w:pPr>
      <w:numPr>
        <w:numId w:val="0"/>
      </w:numPr>
      <w:suppressAutoHyphens/>
      <w:spacing w:after="0" w:line="260" w:lineRule="atLeast"/>
    </w:pPr>
    <w:rPr>
      <w:rFonts w:eastAsia="Times New Roman" w:cs="Times New Roman"/>
      <w:spacing w:val="10"/>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ilvl w:val="0"/>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873A37"/>
    <w:pPr>
      <w:spacing w:before="0" w:after="0" w:line="240" w:lineRule="auto"/>
    </w:pPr>
    <w:rPr>
      <w:szCs w:val="20"/>
    </w:rPr>
  </w:style>
  <w:style w:type="character" w:customStyle="1" w:styleId="AlaviitteentekstiChar">
    <w:name w:val="Alaviitteen teksti Char"/>
    <w:basedOn w:val="Kappaleenoletusfontti"/>
    <w:link w:val="Alaviitteenteksti"/>
    <w:uiPriority w:val="99"/>
    <w:semiHidden/>
    <w:rsid w:val="00873A37"/>
    <w:rPr>
      <w:rFonts w:ascii="Century Gothic" w:hAnsi="Century Gothic"/>
      <w:sz w:val="20"/>
      <w:szCs w:val="20"/>
    </w:rPr>
  </w:style>
  <w:style w:type="character" w:styleId="Alaviitteenviite">
    <w:name w:val="footnote reference"/>
    <w:basedOn w:val="Kappaleenoletusfontti"/>
    <w:uiPriority w:val="99"/>
    <w:unhideWhenUsed/>
    <w:rsid w:val="00873A37"/>
    <w:rPr>
      <w:rFonts w:ascii="Century Gothic" w:hAnsi="Century Gothic"/>
      <w:sz w:val="20"/>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8B44DF"/>
    <w:rPr>
      <w:color w:val="605E5C"/>
      <w:shd w:val="clear" w:color="auto" w:fill="E1DFDD"/>
    </w:rPr>
  </w:style>
  <w:style w:type="character" w:customStyle="1" w:styleId="Otsikko5Char">
    <w:name w:val="Otsikko 5 Char"/>
    <w:basedOn w:val="Kappaleenoletusfontti"/>
    <w:link w:val="Otsikko5"/>
    <w:uiPriority w:val="9"/>
    <w:semiHidden/>
    <w:rsid w:val="00772240"/>
    <w:rPr>
      <w:rFonts w:asciiTheme="majorHAnsi" w:eastAsiaTheme="majorEastAsia" w:hAnsiTheme="majorHAnsi" w:cstheme="majorBidi"/>
      <w:color w:val="002D7B" w:themeColor="accent1" w:themeShade="BF"/>
      <w:sz w:val="20"/>
    </w:rPr>
  </w:style>
  <w:style w:type="paragraph" w:customStyle="1" w:styleId="Luettelo1">
    <w:name w:val="Luettelo1"/>
    <w:basedOn w:val="LeiptekstiMigri"/>
    <w:link w:val="LuetteloChar"/>
    <w:uiPriority w:val="11"/>
    <w:qFormat/>
    <w:rsid w:val="00267E88"/>
    <w:pPr>
      <w:numPr>
        <w:numId w:val="28"/>
      </w:numPr>
      <w:ind w:left="714" w:hanging="357"/>
    </w:pPr>
  </w:style>
  <w:style w:type="paragraph" w:customStyle="1" w:styleId="Numeroimatonotsikko">
    <w:name w:val="Numeroimaton otsikko"/>
    <w:basedOn w:val="LeiptekstiMigri"/>
    <w:link w:val="NumeroimatonotsikkoChar"/>
    <w:uiPriority w:val="11"/>
    <w:qFormat/>
    <w:rsid w:val="001741CB"/>
    <w:pPr>
      <w:ind w:left="0"/>
    </w:pPr>
    <w:rPr>
      <w:b/>
    </w:rPr>
  </w:style>
  <w:style w:type="character" w:customStyle="1" w:styleId="LeiptekstiMigriChar">
    <w:name w:val="Leipäteksti Migri Char"/>
    <w:basedOn w:val="Kappaleenoletusfontti"/>
    <w:link w:val="LeiptekstiMigri"/>
    <w:rsid w:val="0056613C"/>
    <w:rPr>
      <w:rFonts w:ascii="Century Gothic" w:hAnsi="Century Gothic"/>
      <w:sz w:val="20"/>
    </w:rPr>
  </w:style>
  <w:style w:type="character" w:customStyle="1" w:styleId="LuetteloChar">
    <w:name w:val="Luettelo Char"/>
    <w:basedOn w:val="LeiptekstiMigriChar"/>
    <w:link w:val="Luettelo1"/>
    <w:uiPriority w:val="11"/>
    <w:rsid w:val="00267E88"/>
    <w:rPr>
      <w:rFonts w:ascii="Century Gothic" w:hAnsi="Century Gothic"/>
      <w:sz w:val="20"/>
    </w:rPr>
  </w:style>
  <w:style w:type="paragraph" w:customStyle="1" w:styleId="Kysymykset">
    <w:name w:val="Kysymykset"/>
    <w:basedOn w:val="Normaali"/>
    <w:link w:val="KysymyksetChar"/>
    <w:uiPriority w:val="11"/>
    <w:qFormat/>
    <w:rsid w:val="001741CB"/>
    <w:pPr>
      <w:spacing w:after="240" w:line="280" w:lineRule="exact"/>
      <w:jc w:val="left"/>
    </w:pPr>
    <w:rPr>
      <w:color w:val="000000" w:themeColor="text1"/>
    </w:rPr>
  </w:style>
  <w:style w:type="character" w:customStyle="1" w:styleId="NumeroimatonotsikkoChar">
    <w:name w:val="Numeroimaton otsikko Char"/>
    <w:basedOn w:val="LeiptekstiMigriChar"/>
    <w:link w:val="Numeroimatonotsikko"/>
    <w:uiPriority w:val="11"/>
    <w:rsid w:val="001741CB"/>
    <w:rPr>
      <w:rFonts w:ascii="Century Gothic" w:hAnsi="Century Gothic"/>
      <w:b/>
      <w:sz w:val="20"/>
    </w:rPr>
  </w:style>
  <w:style w:type="character" w:customStyle="1" w:styleId="KysymyksetChar">
    <w:name w:val="Kysymykset Char"/>
    <w:basedOn w:val="Kappaleenoletusfontti"/>
    <w:link w:val="Kysymykset"/>
    <w:uiPriority w:val="11"/>
    <w:rsid w:val="001741CB"/>
    <w:rPr>
      <w:rFonts w:ascii="Century Gothic" w:hAnsi="Century Gothic"/>
      <w:color w:val="000000" w:themeColor="text1"/>
      <w:sz w:val="20"/>
    </w:rPr>
  </w:style>
  <w:style w:type="paragraph" w:customStyle="1" w:styleId="Otsikko11">
    <w:name w:val="Otsikko 11"/>
    <w:basedOn w:val="Normaali"/>
    <w:rsid w:val="00A8295C"/>
    <w:pPr>
      <w:numPr>
        <w:numId w:val="18"/>
      </w:numPr>
    </w:pPr>
  </w:style>
  <w:style w:type="paragraph" w:customStyle="1" w:styleId="Otsikko21">
    <w:name w:val="Otsikko 21"/>
    <w:basedOn w:val="Normaali"/>
    <w:rsid w:val="00A8295C"/>
    <w:pPr>
      <w:numPr>
        <w:ilvl w:val="1"/>
        <w:numId w:val="18"/>
      </w:numPr>
    </w:pPr>
  </w:style>
  <w:style w:type="paragraph" w:customStyle="1" w:styleId="Otsikko31">
    <w:name w:val="Otsikko 31"/>
    <w:basedOn w:val="Normaali"/>
    <w:rsid w:val="00A8295C"/>
    <w:pPr>
      <w:numPr>
        <w:ilvl w:val="2"/>
        <w:numId w:val="18"/>
      </w:numPr>
    </w:pPr>
  </w:style>
  <w:style w:type="paragraph" w:customStyle="1" w:styleId="Otsikko41">
    <w:name w:val="Otsikko 41"/>
    <w:basedOn w:val="Normaali"/>
    <w:rsid w:val="00A8295C"/>
    <w:pPr>
      <w:numPr>
        <w:ilvl w:val="3"/>
        <w:numId w:val="18"/>
      </w:numPr>
    </w:pPr>
  </w:style>
  <w:style w:type="paragraph" w:customStyle="1" w:styleId="Otsikko51">
    <w:name w:val="Otsikko 51"/>
    <w:basedOn w:val="Normaali"/>
    <w:rsid w:val="00A8295C"/>
    <w:pPr>
      <w:numPr>
        <w:ilvl w:val="4"/>
        <w:numId w:val="18"/>
      </w:numPr>
    </w:pPr>
  </w:style>
  <w:style w:type="paragraph" w:customStyle="1" w:styleId="Otsikko61">
    <w:name w:val="Otsikko 61"/>
    <w:basedOn w:val="Normaali"/>
    <w:rsid w:val="00A8295C"/>
    <w:pPr>
      <w:numPr>
        <w:ilvl w:val="5"/>
        <w:numId w:val="18"/>
      </w:numPr>
    </w:pPr>
  </w:style>
  <w:style w:type="paragraph" w:customStyle="1" w:styleId="Otsikko71">
    <w:name w:val="Otsikko 71"/>
    <w:basedOn w:val="Normaali"/>
    <w:rsid w:val="00A8295C"/>
    <w:pPr>
      <w:numPr>
        <w:ilvl w:val="6"/>
        <w:numId w:val="18"/>
      </w:numPr>
    </w:pPr>
  </w:style>
  <w:style w:type="paragraph" w:customStyle="1" w:styleId="Otsikko81">
    <w:name w:val="Otsikko 81"/>
    <w:basedOn w:val="Normaali"/>
    <w:rsid w:val="00A8295C"/>
    <w:pPr>
      <w:numPr>
        <w:ilvl w:val="7"/>
        <w:numId w:val="18"/>
      </w:numPr>
    </w:pPr>
  </w:style>
  <w:style w:type="paragraph" w:customStyle="1" w:styleId="Otsikko91">
    <w:name w:val="Otsikko 91"/>
    <w:basedOn w:val="Normaali"/>
    <w:rsid w:val="00A8295C"/>
    <w:pPr>
      <w:numPr>
        <w:ilvl w:val="8"/>
        <w:numId w:val="18"/>
      </w:numPr>
    </w:pPr>
  </w:style>
  <w:style w:type="numbering" w:customStyle="1" w:styleId="Style1">
    <w:name w:val="Style1"/>
    <w:uiPriority w:val="99"/>
    <w:rsid w:val="00A8295C"/>
    <w:pPr>
      <w:numPr>
        <w:numId w:val="29"/>
      </w:numPr>
    </w:pPr>
  </w:style>
  <w:style w:type="paragraph" w:customStyle="1" w:styleId="Potsikko0">
    <w:name w:val="Pääotsikko"/>
    <w:basedOn w:val="POTSIKKO"/>
    <w:next w:val="Normaali"/>
    <w:link w:val="PotsikkoChar0"/>
    <w:uiPriority w:val="11"/>
    <w:rsid w:val="00A8295C"/>
    <w:rPr>
      <w:rFonts w:eastAsiaTheme="minorHAnsi" w:cstheme="minorHAnsi"/>
      <w:color w:val="auto"/>
      <w:spacing w:val="0"/>
      <w:szCs w:val="22"/>
    </w:rPr>
  </w:style>
  <w:style w:type="character" w:customStyle="1" w:styleId="POTSIKKOChar">
    <w:name w:val="PÄÄOTSIKKO Char"/>
    <w:basedOn w:val="Otsikko1Char"/>
    <w:link w:val="POTSIKKO"/>
    <w:rsid w:val="00A8295C"/>
    <w:rPr>
      <w:rFonts w:ascii="Century Gothic" w:eastAsia="Times New Roman" w:hAnsi="Century Gothic" w:cs="Times New Roman"/>
      <w:b/>
      <w:color w:val="000000" w:themeColor="text1"/>
      <w:spacing w:val="10"/>
      <w:sz w:val="28"/>
      <w:szCs w:val="24"/>
    </w:rPr>
  </w:style>
  <w:style w:type="character" w:customStyle="1" w:styleId="PotsikkoChar0">
    <w:name w:val="Pääotsikko Char"/>
    <w:basedOn w:val="POTSIKKOChar"/>
    <w:link w:val="Potsikko0"/>
    <w:uiPriority w:val="11"/>
    <w:rsid w:val="00A8295C"/>
    <w:rPr>
      <w:rFonts w:ascii="Century Gothic" w:eastAsia="Times New Roman" w:hAnsi="Century Gothic" w:cs="Times New Roman"/>
      <w:b/>
      <w:color w:val="000000" w:themeColor="text1"/>
      <w:spacing w:val="10"/>
      <w:sz w:val="28"/>
      <w:szCs w:val="24"/>
    </w:rPr>
  </w:style>
  <w:style w:type="character" w:styleId="Kommentinviite">
    <w:name w:val="annotation reference"/>
    <w:basedOn w:val="Kappaleenoletusfontti"/>
    <w:uiPriority w:val="99"/>
    <w:semiHidden/>
    <w:unhideWhenUsed/>
    <w:rsid w:val="008969C5"/>
    <w:rPr>
      <w:sz w:val="16"/>
      <w:szCs w:val="16"/>
    </w:rPr>
  </w:style>
  <w:style w:type="paragraph" w:styleId="Kommentinteksti">
    <w:name w:val="annotation text"/>
    <w:basedOn w:val="Normaali"/>
    <w:link w:val="KommentintekstiChar"/>
    <w:uiPriority w:val="99"/>
    <w:semiHidden/>
    <w:unhideWhenUsed/>
    <w:rsid w:val="008969C5"/>
    <w:pPr>
      <w:spacing w:line="240" w:lineRule="auto"/>
    </w:pPr>
    <w:rPr>
      <w:szCs w:val="20"/>
    </w:rPr>
  </w:style>
  <w:style w:type="character" w:customStyle="1" w:styleId="KommentintekstiChar">
    <w:name w:val="Kommentin teksti Char"/>
    <w:basedOn w:val="Kappaleenoletusfontti"/>
    <w:link w:val="Kommentinteksti"/>
    <w:uiPriority w:val="99"/>
    <w:semiHidden/>
    <w:rsid w:val="008969C5"/>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8969C5"/>
    <w:rPr>
      <w:b/>
      <w:bCs/>
    </w:rPr>
  </w:style>
  <w:style w:type="character" w:customStyle="1" w:styleId="KommentinotsikkoChar">
    <w:name w:val="Kommentin otsikko Char"/>
    <w:basedOn w:val="KommentintekstiChar"/>
    <w:link w:val="Kommentinotsikko"/>
    <w:uiPriority w:val="99"/>
    <w:semiHidden/>
    <w:rsid w:val="008969C5"/>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7201">
      <w:bodyDiv w:val="1"/>
      <w:marLeft w:val="0"/>
      <w:marRight w:val="0"/>
      <w:marTop w:val="0"/>
      <w:marBottom w:val="0"/>
      <w:divBdr>
        <w:top w:val="none" w:sz="0" w:space="0" w:color="auto"/>
        <w:left w:val="none" w:sz="0" w:space="0" w:color="auto"/>
        <w:bottom w:val="none" w:sz="0" w:space="0" w:color="auto"/>
        <w:right w:val="none" w:sz="0" w:space="0" w:color="auto"/>
      </w:divBdr>
    </w:div>
    <w:div w:id="440300995">
      <w:bodyDiv w:val="1"/>
      <w:marLeft w:val="0"/>
      <w:marRight w:val="0"/>
      <w:marTop w:val="0"/>
      <w:marBottom w:val="0"/>
      <w:divBdr>
        <w:top w:val="none" w:sz="0" w:space="0" w:color="auto"/>
        <w:left w:val="none" w:sz="0" w:space="0" w:color="auto"/>
        <w:bottom w:val="none" w:sz="0" w:space="0" w:color="auto"/>
        <w:right w:val="none" w:sz="0" w:space="0" w:color="auto"/>
      </w:divBdr>
      <w:divsChild>
        <w:div w:id="1896116793">
          <w:marLeft w:val="0"/>
          <w:marRight w:val="0"/>
          <w:marTop w:val="0"/>
          <w:marBottom w:val="0"/>
          <w:divBdr>
            <w:top w:val="none" w:sz="0" w:space="0" w:color="auto"/>
            <w:left w:val="none" w:sz="0" w:space="0" w:color="auto"/>
            <w:bottom w:val="none" w:sz="0" w:space="0" w:color="auto"/>
            <w:right w:val="none" w:sz="0" w:space="0" w:color="auto"/>
          </w:divBdr>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3931394">
      <w:bodyDiv w:val="1"/>
      <w:marLeft w:val="0"/>
      <w:marRight w:val="0"/>
      <w:marTop w:val="0"/>
      <w:marBottom w:val="0"/>
      <w:divBdr>
        <w:top w:val="none" w:sz="0" w:space="0" w:color="auto"/>
        <w:left w:val="none" w:sz="0" w:space="0" w:color="auto"/>
        <w:bottom w:val="none" w:sz="0" w:space="0" w:color="auto"/>
        <w:right w:val="none" w:sz="0" w:space="0" w:color="auto"/>
      </w:divBdr>
    </w:div>
    <w:div w:id="840004474">
      <w:bodyDiv w:val="1"/>
      <w:marLeft w:val="0"/>
      <w:marRight w:val="0"/>
      <w:marTop w:val="0"/>
      <w:marBottom w:val="0"/>
      <w:divBdr>
        <w:top w:val="none" w:sz="0" w:space="0" w:color="auto"/>
        <w:left w:val="none" w:sz="0" w:space="0" w:color="auto"/>
        <w:bottom w:val="none" w:sz="0" w:space="0" w:color="auto"/>
        <w:right w:val="none" w:sz="0" w:space="0" w:color="auto"/>
      </w:divBdr>
    </w:div>
    <w:div w:id="927271354">
      <w:bodyDiv w:val="1"/>
      <w:marLeft w:val="0"/>
      <w:marRight w:val="0"/>
      <w:marTop w:val="0"/>
      <w:marBottom w:val="0"/>
      <w:divBdr>
        <w:top w:val="none" w:sz="0" w:space="0" w:color="auto"/>
        <w:left w:val="none" w:sz="0" w:space="0" w:color="auto"/>
        <w:bottom w:val="none" w:sz="0" w:space="0" w:color="auto"/>
        <w:right w:val="none" w:sz="0" w:space="0" w:color="auto"/>
      </w:divBdr>
    </w:div>
    <w:div w:id="1060634828">
      <w:bodyDiv w:val="1"/>
      <w:marLeft w:val="0"/>
      <w:marRight w:val="0"/>
      <w:marTop w:val="0"/>
      <w:marBottom w:val="0"/>
      <w:divBdr>
        <w:top w:val="none" w:sz="0" w:space="0" w:color="auto"/>
        <w:left w:val="none" w:sz="0" w:space="0" w:color="auto"/>
        <w:bottom w:val="none" w:sz="0" w:space="0" w:color="auto"/>
        <w:right w:val="none" w:sz="0" w:space="0" w:color="auto"/>
      </w:divBdr>
    </w:div>
    <w:div w:id="1184514105">
      <w:bodyDiv w:val="1"/>
      <w:marLeft w:val="0"/>
      <w:marRight w:val="0"/>
      <w:marTop w:val="0"/>
      <w:marBottom w:val="0"/>
      <w:divBdr>
        <w:top w:val="none" w:sz="0" w:space="0" w:color="auto"/>
        <w:left w:val="none" w:sz="0" w:space="0" w:color="auto"/>
        <w:bottom w:val="none" w:sz="0" w:space="0" w:color="auto"/>
        <w:right w:val="none" w:sz="0" w:space="0" w:color="auto"/>
      </w:divBdr>
    </w:div>
    <w:div w:id="1517499448">
      <w:bodyDiv w:val="1"/>
      <w:marLeft w:val="0"/>
      <w:marRight w:val="0"/>
      <w:marTop w:val="0"/>
      <w:marBottom w:val="0"/>
      <w:divBdr>
        <w:top w:val="none" w:sz="0" w:space="0" w:color="auto"/>
        <w:left w:val="none" w:sz="0" w:space="0" w:color="auto"/>
        <w:bottom w:val="none" w:sz="0" w:space="0" w:color="auto"/>
        <w:right w:val="none" w:sz="0" w:space="0" w:color="auto"/>
      </w:divBdr>
    </w:div>
    <w:div w:id="18600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doc.echr.coe.int/eng" TargetMode="External"/><Relationship Id="rId18" Type="http://schemas.openxmlformats.org/officeDocument/2006/relationships/hyperlink" Target="https://www.venice.coe.int/webforms/documents/default.aspx?pdffile=CDL(2017)005-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ockholmcf.org/turkish-prisons-at-18-percent-overcapacity-report/"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hudoc.echr.coe.int/app/conversion/docx/?library=ECHR&amp;id=001-113767&amp;filename=CASE%20OF%20%C3%87O%C5%9EELAV%20v.%20TURKEY.docx&amp;logEvent=False" TargetMode="External"/><Relationship Id="rId17" Type="http://schemas.openxmlformats.org/officeDocument/2006/relationships/hyperlink" Target="https://www.ihd.org.tr/wp-content/uploads/2023/07/2022-Hapishane-Raporu-1.pdf" TargetMode="External"/><Relationship Id="rId25" Type="http://schemas.openxmlformats.org/officeDocument/2006/relationships/hyperlink" Target="https://www.state.gov/reports/2022-country-reports-on-human-rights-practices/turkey/"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icj.org/wp-content/uploads/2018/12/Turkey-Access-to-justice-Publications-Reports-2018-ENG.pdf" TargetMode="External"/><Relationship Id="rId20" Type="http://schemas.openxmlformats.org/officeDocument/2006/relationships/hyperlink" Target="https://morningstaronline.co.uk/article/w/women-are-being-tortured-in-turkey-prisons-opposition-mp-war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ce.coe.int/pdf/96d00cfb08ac369b60db8b58ddb03cf8cbb4b25d62312ea0033f10f6f3ad54cb/res.%202528.pdf" TargetMode="External"/><Relationship Id="rId24" Type="http://schemas.openxmlformats.org/officeDocument/2006/relationships/hyperlink" Target="https://sherloc.unodc.org/cld/document/tur/2005/turkish_criminal_procedure_code.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rw.org/world-report/2024/country-chapters/turkey" TargetMode="External"/><Relationship Id="rId23" Type="http://schemas.openxmlformats.org/officeDocument/2006/relationships/hyperlink" Target="https://stockholmcf.org/nordic-monitor-reveals-content-of-censored-council-of-europe-torture-report-on-turkey/" TargetMode="External"/><Relationship Id="rId28" Type="http://schemas.openxmlformats.org/officeDocument/2006/relationships/footer" Target="footer1.xml"/><Relationship Id="rId36" Type="http://schemas.openxmlformats.org/officeDocument/2006/relationships/customXml" Target="../customXml/item6.xml"/><Relationship Id="rId10" Type="http://schemas.openxmlformats.org/officeDocument/2006/relationships/hyperlink" Target="https://www.coe.int/en/web/prison/home/-/asset_publisher/ky2olXXXogcx/content/council-of-europe-s-annual-penal-statistics-covid-19-pandemic-helped-reduce-europe-s-prison-population" TargetMode="External"/><Relationship Id="rId19" Type="http://schemas.openxmlformats.org/officeDocument/2006/relationships/hyperlink" Target="https://rm.coe.int/16806f234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sst.org.tr/wp-content/uploads/2019/08/Prisons-of-Turkey-Report.pdf" TargetMode="External"/><Relationship Id="rId14" Type="http://schemas.openxmlformats.org/officeDocument/2006/relationships/hyperlink" Target="https://en.tihv.org.tr/treatment-and-rehabilitation-reports/2022-treatment-centres-report/" TargetMode="External"/><Relationship Id="rId22" Type="http://schemas.openxmlformats.org/officeDocument/2006/relationships/hyperlink" Target="https://stockholmcf.org/torture-and-inhuman-treatment-in-turkey-2021-in-review/" TargetMode="External"/><Relationship Id="rId27" Type="http://schemas.openxmlformats.org/officeDocument/2006/relationships/header" Target="header2.xml"/><Relationship Id="rId30" Type="http://schemas.openxmlformats.org/officeDocument/2006/relationships/glossaryDocument" Target="glossary/document.xml"/><Relationship Id="rId35" Type="http://schemas.openxmlformats.org/officeDocument/2006/relationships/customXml" Target="../customXml/item5.xml"/><Relationship Id="rId8" Type="http://schemas.openxmlformats.org/officeDocument/2006/relationships/hyperlink" Target="https://ahvalnews.com/turkey-prisons/torture-incidents-double-against-turkeys-political-priso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n.tihv.org.tr/" TargetMode="External"/><Relationship Id="rId2" Type="http://schemas.openxmlformats.org/officeDocument/2006/relationships/hyperlink" Target="https://www.mlsaturkey.com/en/home/" TargetMode="External"/><Relationship Id="rId1" Type="http://schemas.openxmlformats.org/officeDocument/2006/relationships/hyperlink" Target="https://ihd.org.tr/en/" TargetMode="External"/><Relationship Id="rId6" Type="http://schemas.openxmlformats.org/officeDocument/2006/relationships/hyperlink" Target="https://www.tihek.gov.tr/en" TargetMode="External"/><Relationship Id="rId5" Type="http://schemas.openxmlformats.org/officeDocument/2006/relationships/hyperlink" Target="https://hdp.org.tr/en/" TargetMode="External"/><Relationship Id="rId4" Type="http://schemas.openxmlformats.org/officeDocument/2006/relationships/hyperlink" Target="https://cisst.org.t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IGMIGFLS010.intermincore.root\vol1$\projekti\migmiggumig005\Asiakirjapohjat\Maatietopalvelu%20kyselyvasta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05E769A28042D8B915C3A0AC70F815"/>
        <w:category>
          <w:name w:val="Yleiset"/>
          <w:gallery w:val="placeholder"/>
        </w:category>
        <w:types>
          <w:type w:val="bbPlcHdr"/>
        </w:types>
        <w:behaviors>
          <w:behavior w:val="content"/>
        </w:behaviors>
        <w:guid w:val="{30462E5A-30C7-4AAF-8158-963851B79A9A}"/>
      </w:docPartPr>
      <w:docPartBody>
        <w:p w:rsidR="006539F4" w:rsidRDefault="006539F4">
          <w:pPr>
            <w:pStyle w:val="0405E769A28042D8B915C3A0AC70F815"/>
          </w:pPr>
          <w:r w:rsidRPr="00AA10D2">
            <w:rPr>
              <w:rStyle w:val="Paikkamerkkiteksti"/>
            </w:rPr>
            <w:t>Kirjoita tekstiä napsauttamalla tai napauttamalla tätä.</w:t>
          </w:r>
        </w:p>
      </w:docPartBody>
    </w:docPart>
    <w:docPart>
      <w:docPartPr>
        <w:name w:val="C2686FC1DE884B2592461A9656E013C1"/>
        <w:category>
          <w:name w:val="Yleiset"/>
          <w:gallery w:val="placeholder"/>
        </w:category>
        <w:types>
          <w:type w:val="bbPlcHdr"/>
        </w:types>
        <w:behaviors>
          <w:behavior w:val="content"/>
        </w:behaviors>
        <w:guid w:val="{46737794-3B34-4553-A166-25D5A1C2A68F}"/>
      </w:docPartPr>
      <w:docPartBody>
        <w:p w:rsidR="006539F4" w:rsidRDefault="006539F4">
          <w:pPr>
            <w:pStyle w:val="C2686FC1DE884B2592461A9656E013C1"/>
          </w:pPr>
          <w:r w:rsidRPr="00AA10D2">
            <w:rPr>
              <w:rStyle w:val="Paikkamerkkiteksti"/>
            </w:rPr>
            <w:t>Kirjoita tekstiä napsauttamalla tai napauttamalla tätä.</w:t>
          </w:r>
        </w:p>
      </w:docPartBody>
    </w:docPart>
    <w:docPart>
      <w:docPartPr>
        <w:name w:val="6A13373258AE4ED1993957B3F6129DB8"/>
        <w:category>
          <w:name w:val="Yleiset"/>
          <w:gallery w:val="placeholder"/>
        </w:category>
        <w:types>
          <w:type w:val="bbPlcHdr"/>
        </w:types>
        <w:behaviors>
          <w:behavior w:val="content"/>
        </w:behaviors>
        <w:guid w:val="{F8735342-0759-46FE-838E-DC32DC7A0B5A}"/>
      </w:docPartPr>
      <w:docPartBody>
        <w:p w:rsidR="006539F4" w:rsidRDefault="006539F4">
          <w:pPr>
            <w:pStyle w:val="6A13373258AE4ED1993957B3F6129DB8"/>
          </w:pPr>
          <w:r w:rsidRPr="00810134">
            <w:rPr>
              <w:rStyle w:val="Paikkamerkkiteksti"/>
              <w:lang w:val="en-GB"/>
            </w:rPr>
            <w:t>.</w:t>
          </w:r>
        </w:p>
      </w:docPartBody>
    </w:docPart>
    <w:docPart>
      <w:docPartPr>
        <w:name w:val="77D58D55A7BD41CB9965FE2B5544230D"/>
        <w:category>
          <w:name w:val="Yleiset"/>
          <w:gallery w:val="placeholder"/>
        </w:category>
        <w:types>
          <w:type w:val="bbPlcHdr"/>
        </w:types>
        <w:behaviors>
          <w:behavior w:val="content"/>
        </w:behaviors>
        <w:guid w:val="{F24D47F4-2312-415D-977B-983E742BAA2A}"/>
      </w:docPartPr>
      <w:docPartBody>
        <w:p w:rsidR="006539F4" w:rsidRDefault="006539F4">
          <w:pPr>
            <w:pStyle w:val="77D58D55A7BD41CB9965FE2B5544230D"/>
          </w:pPr>
          <w:r w:rsidRPr="00AA10D2">
            <w:rPr>
              <w:rStyle w:val="Paikkamerkkiteksti"/>
            </w:rPr>
            <w:t>Kirjoita tekstiä napsauttamalla tai napauttamalla tätä.</w:t>
          </w:r>
        </w:p>
      </w:docPartBody>
    </w:docPart>
    <w:docPart>
      <w:docPartPr>
        <w:name w:val="1C2820AE52F149B483CD3C6BCBF7E3F8"/>
        <w:category>
          <w:name w:val="Yleiset"/>
          <w:gallery w:val="placeholder"/>
        </w:category>
        <w:types>
          <w:type w:val="bbPlcHdr"/>
        </w:types>
        <w:behaviors>
          <w:behavior w:val="content"/>
        </w:behaviors>
        <w:guid w:val="{42180687-27F5-4D13-B5E5-5D944C5646DC}"/>
      </w:docPartPr>
      <w:docPartBody>
        <w:p w:rsidR="006539F4" w:rsidRDefault="006539F4">
          <w:pPr>
            <w:pStyle w:val="1C2820AE52F149B483CD3C6BCBF7E3F8"/>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F4"/>
    <w:rsid w:val="006539F4"/>
    <w:rsid w:val="00C824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405E769A28042D8B915C3A0AC70F815">
    <w:name w:val="0405E769A28042D8B915C3A0AC70F815"/>
  </w:style>
  <w:style w:type="paragraph" w:customStyle="1" w:styleId="C2686FC1DE884B2592461A9656E013C1">
    <w:name w:val="C2686FC1DE884B2592461A9656E013C1"/>
  </w:style>
  <w:style w:type="paragraph" w:customStyle="1" w:styleId="6A13373258AE4ED1993957B3F6129DB8">
    <w:name w:val="6A13373258AE4ED1993957B3F6129DB8"/>
  </w:style>
  <w:style w:type="paragraph" w:customStyle="1" w:styleId="77D58D55A7BD41CB9965FE2B5544230D">
    <w:name w:val="77D58D55A7BD41CB9965FE2B5544230D"/>
  </w:style>
  <w:style w:type="paragraph" w:customStyle="1" w:styleId="1C2820AE52F149B483CD3C6BCBF7E3F8">
    <w:name w:val="1C2820AE52F149B483CD3C6BCBF7E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JUDICIARY,CRIMINAL CODE,PROSECUTION,LEGAL AID,LEGAL ADVICE,PUNISHMENTS,IMPRISONMENT,JUVENILE DELINQUENCY,MINORS,PRISONS,PRISONERS,PRISON CONDITIONS,TORTURE,INHUMAN TREATMENT,EQUALITY BEFORE THE LAW,RULE OF LAW,ETHNIC GROUPS,MINORITY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2024-03-07T23:00:00+00:00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Asiakirjan tunnus: 
Julkisuus: Julkinen 
Turkki / Oikeusprosessi rikosasioissa, vankilaolot, kidutus ja muu epäinhimillinen tai halventava kohtelu
Turkey / Criminal justice process, prison conditions, torture and other inhuman or degrading treatment
Kysymykset
1. Onko Turkissa mahdollisuutta oikeusapuun, oikeudenmukaiseen oikeudenkäyntiin ja valittamiseen rikosasioissa?
2. Millaiset ovat Turkin vankilaolosuhteet? 
3. Kuinka yleistä vankiin kohdistuva kidutus ja muu epäinhimillinen tai halventava kohtelu on? Onko ryhmiä, jotka ovat erityisen alttiita kidutukselle vankilassa? Kohdistuuko etnisten vähemmistöjen edustajiin, poliittisiin vankeihin tai sellaisiin vankeihin, joilla on taustaa poliittisesta tai yhteiskunnallisesta toiminnasta useammin huonoa kohtelua kuin muihin vankeihin?
Questions
1. Is it possible to receive legal aid, a fair trial and make a complaint in a criminal justice case in Turkey?
2. What are prison conditions in Turkey like? 
3. How prevalent is</COIDocAbstract>
    <COIWSGroundsRejection xmlns="b5be3156-7e14-46bc-bfca-5c242eb3de3f" xsi:nil="true"/>
    <COIDocAuthors xmlns="e235e197-502c-49f1-8696-39d199cd5131">
      <Value>143</Value>
    </COIDocAuthors>
    <COIDocID xmlns="b5be3156-7e14-46bc-bfca-5c242eb3de3f">660</COIDocID>
    <_dlc_DocId xmlns="e235e197-502c-49f1-8696-39d199cd5131">FI011-215589946-12041</_dlc_DocId>
    <_dlc_DocIdUrl xmlns="e235e197-502c-49f1-8696-39d199cd5131">
      <Url>https://coiadmin.euaa.europa.eu/administration/finland/_layouts/15/DocIdRedir.aspx?ID=FI011-215589946-12041</Url>
      <Description>FI011-215589946-12041</Description>
    </_dlc_DocIdUrl>
  </documentManagement>
</p:properties>
</file>

<file path=customXml/itemProps1.xml><?xml version="1.0" encoding="utf-8"?>
<ds:datastoreItem xmlns:ds="http://schemas.openxmlformats.org/officeDocument/2006/customXml" ds:itemID="{B9910787-0939-4DBA-84CC-F212BAC545F7}">
  <ds:schemaRefs>
    <ds:schemaRef ds:uri="http://schemas.openxmlformats.org/officeDocument/2006/bibliography"/>
  </ds:schemaRefs>
</ds:datastoreItem>
</file>

<file path=customXml/itemProps2.xml><?xml version="1.0" encoding="utf-8"?>
<ds:datastoreItem xmlns:ds="http://schemas.openxmlformats.org/officeDocument/2006/customXml" ds:itemID="{C3DABF98-3630-4A03-B85D-EFE0809DD3F3}"/>
</file>

<file path=customXml/itemProps3.xml><?xml version="1.0" encoding="utf-8"?>
<ds:datastoreItem xmlns:ds="http://schemas.openxmlformats.org/officeDocument/2006/customXml" ds:itemID="{8EA823AC-8D2D-4FB6-956B-A13FDE2BFF74}"/>
</file>

<file path=customXml/itemProps4.xml><?xml version="1.0" encoding="utf-8"?>
<ds:datastoreItem xmlns:ds="http://schemas.openxmlformats.org/officeDocument/2006/customXml" ds:itemID="{52206CAB-8574-4074-9C0F-A4CD914C3E7A}"/>
</file>

<file path=customXml/itemProps5.xml><?xml version="1.0" encoding="utf-8"?>
<ds:datastoreItem xmlns:ds="http://schemas.openxmlformats.org/officeDocument/2006/customXml" ds:itemID="{D0677053-A579-47BE-9D22-D35683840816}"/>
</file>

<file path=customXml/itemProps6.xml><?xml version="1.0" encoding="utf-8"?>
<ds:datastoreItem xmlns:ds="http://schemas.openxmlformats.org/officeDocument/2006/customXml" ds:itemID="{F6DAA8B5-3890-41A8-AE6C-8806B213614F}"/>
</file>

<file path=docProps/app.xml><?xml version="1.0" encoding="utf-8"?>
<Properties xmlns="http://schemas.openxmlformats.org/officeDocument/2006/extended-properties" xmlns:vt="http://schemas.openxmlformats.org/officeDocument/2006/docPropsVTypes">
  <Template>Maatietopalvelu kyselyvastaus.dotx</Template>
  <TotalTime>0</TotalTime>
  <Pages>11</Pages>
  <Words>3242</Words>
  <Characters>26267</Characters>
  <Application>Microsoft Office Word</Application>
  <DocSecurity>0</DocSecurity>
  <Lines>218</Lines>
  <Paragraphs>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29451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Oikeusprosessi rikosasioissa, vankilaolot, kidutus ja muu epäinhimillinen tai halventava kohtelu // Turkey / Criminal justice process, prison conditions, torture and other inhuman or degrading treatment</dc:title>
  <dc:creator/>
  <cp:lastModifiedBy/>
  <cp:revision>1</cp:revision>
  <dcterms:created xsi:type="dcterms:W3CDTF">2024-03-08T14:41:00Z</dcterms:created>
  <dcterms:modified xsi:type="dcterms:W3CDTF">2024-03-08T14:41:00Z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ebd64367-8e47-4903-be5d-1deea2aed709</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