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E6FE"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0A2042C4"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2AE1E4A" w14:textId="22690611" w:rsidR="00800AA9" w:rsidRPr="00800AA9" w:rsidRDefault="00800AA9" w:rsidP="00C348A3">
      <w:pPr>
        <w:spacing w:before="0" w:after="0"/>
      </w:pPr>
      <w:r w:rsidRPr="00BB7F45">
        <w:rPr>
          <w:b/>
        </w:rPr>
        <w:t>Asiakirjan tunnus:</w:t>
      </w:r>
      <w:r>
        <w:t xml:space="preserve"> KT</w:t>
      </w:r>
      <w:r w:rsidR="001A6C83">
        <w:t>1381</w:t>
      </w:r>
    </w:p>
    <w:p w14:paraId="3CCCC27E" w14:textId="10D19EF2" w:rsidR="00800AA9" w:rsidRDefault="00800AA9" w:rsidP="00C348A3">
      <w:pPr>
        <w:spacing w:before="0" w:after="0"/>
      </w:pPr>
      <w:r w:rsidRPr="00BB7F45">
        <w:rPr>
          <w:b/>
        </w:rPr>
        <w:t>Päivämäärä</w:t>
      </w:r>
      <w:r>
        <w:t xml:space="preserve">: </w:t>
      </w:r>
      <w:r w:rsidR="001A6C83">
        <w:t>10.7.2026</w:t>
      </w:r>
    </w:p>
    <w:p w14:paraId="164E2BCD" w14:textId="72CABAFF"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4FF30AA6" w14:textId="77777777" w:rsidR="00800AA9" w:rsidRPr="00633BBD" w:rsidRDefault="00BE0F90" w:rsidP="00800AA9">
      <w:pPr>
        <w:rPr>
          <w:rStyle w:val="Otsikko1Char"/>
          <w:b w:val="0"/>
          <w:sz w:val="20"/>
          <w:szCs w:val="20"/>
        </w:rPr>
      </w:pPr>
      <w:r>
        <w:rPr>
          <w:b/>
        </w:rPr>
        <w:pict w14:anchorId="5D83E56B">
          <v:rect id="_x0000_i1026" style="width:0;height:1.5pt" o:hralign="center" o:hrstd="t" o:hr="t" fillcolor="#a0a0a0" stroked="f"/>
        </w:pict>
      </w:r>
    </w:p>
    <w:p w14:paraId="39EC5E78" w14:textId="4A1DCD7F" w:rsidR="008020E6" w:rsidRPr="008D6C72" w:rsidRDefault="00BE0F90"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8F7779C836C44ACF9231B2B0E497640B"/>
          </w:placeholder>
          <w:text/>
        </w:sdtPr>
        <w:sdtEndPr>
          <w:rPr>
            <w:rStyle w:val="Otsikko1Char"/>
          </w:rPr>
        </w:sdtEndPr>
        <w:sdtContent>
          <w:r w:rsidR="00CE5E36" w:rsidRPr="008D6C72">
            <w:rPr>
              <w:rStyle w:val="Otsikko1Char"/>
              <w:rFonts w:cs="Times New Roman"/>
              <w:b/>
              <w:szCs w:val="24"/>
            </w:rPr>
            <w:t>Irak</w:t>
          </w:r>
          <w:r w:rsidR="00543F66" w:rsidRPr="008D6C72">
            <w:rPr>
              <w:rStyle w:val="Otsikko1Char"/>
              <w:rFonts w:cs="Times New Roman"/>
              <w:b/>
              <w:szCs w:val="24"/>
            </w:rPr>
            <w:t xml:space="preserve"> / </w:t>
          </w:r>
          <w:r w:rsidR="008D6C72" w:rsidRPr="008D6C72">
            <w:rPr>
              <w:rStyle w:val="Otsikko1Char"/>
              <w:rFonts w:cs="Times New Roman"/>
              <w:b/>
              <w:szCs w:val="24"/>
            </w:rPr>
            <w:t>Perinnönjako ja vaaditut a</w:t>
          </w:r>
          <w:r w:rsidR="008D6C72">
            <w:rPr>
              <w:rStyle w:val="Otsikko1Char"/>
              <w:rFonts w:cs="Times New Roman"/>
              <w:b/>
              <w:szCs w:val="24"/>
            </w:rPr>
            <w:t>siakirjat</w:t>
          </w:r>
        </w:sdtContent>
      </w:sdt>
    </w:p>
    <w:sdt>
      <w:sdtPr>
        <w:rPr>
          <w:rStyle w:val="Otsikko1Char"/>
          <w:rFonts w:cs="Times New Roman"/>
          <w:b/>
          <w:szCs w:val="24"/>
          <w:lang w:val="en-US"/>
        </w:rPr>
        <w:alias w:val="Country / Title in English"/>
        <w:tag w:val="Country / Title in English"/>
        <w:id w:val="2146699517"/>
        <w:lock w:val="sdtLocked"/>
        <w:placeholder>
          <w:docPart w:val="AE983D71AB9743C59C9053FA85E243D2"/>
        </w:placeholder>
        <w:text/>
      </w:sdtPr>
      <w:sdtEndPr>
        <w:rPr>
          <w:rStyle w:val="Kappaleenoletusfontti"/>
          <w:rFonts w:eastAsia="Times New Roman"/>
        </w:rPr>
      </w:sdtEndPr>
      <w:sdtContent>
        <w:p w14:paraId="3BF0E51B" w14:textId="4315EFBD" w:rsidR="00082DFE" w:rsidRPr="00CE5E36" w:rsidRDefault="00CE5E36" w:rsidP="00543F66">
          <w:pPr>
            <w:pStyle w:val="POTSIKKO"/>
            <w:rPr>
              <w:lang w:val="en-US"/>
            </w:rPr>
          </w:pPr>
          <w:r w:rsidRPr="00CE5E36">
            <w:rPr>
              <w:rStyle w:val="Otsikko1Char"/>
              <w:rFonts w:cs="Times New Roman"/>
              <w:b/>
              <w:szCs w:val="24"/>
              <w:lang w:val="en-US"/>
            </w:rPr>
            <w:t>Iraq</w:t>
          </w:r>
          <w:r w:rsidR="00810134" w:rsidRPr="00CE5E36">
            <w:rPr>
              <w:rStyle w:val="Otsikko1Char"/>
              <w:rFonts w:cs="Times New Roman"/>
              <w:b/>
              <w:szCs w:val="24"/>
              <w:lang w:val="en-US"/>
            </w:rPr>
            <w:t xml:space="preserve"> / </w:t>
          </w:r>
          <w:r w:rsidR="008D6C72">
            <w:rPr>
              <w:rStyle w:val="Otsikko1Char"/>
              <w:rFonts w:cs="Times New Roman"/>
              <w:b/>
              <w:szCs w:val="24"/>
              <w:lang w:val="en-US"/>
            </w:rPr>
            <w:t>Distribution of estate and required documents</w:t>
          </w:r>
        </w:p>
      </w:sdtContent>
    </w:sdt>
    <w:p w14:paraId="2392098A" w14:textId="77777777" w:rsidR="00082DFE" w:rsidRDefault="00BE0F90" w:rsidP="00082DFE">
      <w:pPr>
        <w:rPr>
          <w:b/>
        </w:rPr>
      </w:pPr>
      <w:r>
        <w:rPr>
          <w:b/>
        </w:rPr>
        <w:pict w14:anchorId="28053042">
          <v:rect id="_x0000_i1027" style="width:0;height:1.5pt" o:hralign="center" o:hrstd="t" o:hr="t" fillcolor="#a0a0a0" stroked="f"/>
        </w:pict>
      </w:r>
    </w:p>
    <w:p w14:paraId="3484A69C"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0D61040A1E234B4AB6DCEE076115C4E4"/>
        </w:placeholder>
      </w:sdtPr>
      <w:sdtEndPr>
        <w:rPr>
          <w:rStyle w:val="Kappaleenoletusfontti"/>
          <w:color w:val="404040" w:themeColor="text1" w:themeTint="BF"/>
        </w:rPr>
      </w:sdtEndPr>
      <w:sdtContent>
        <w:sdt>
          <w:sdtPr>
            <w:rPr>
              <w:rStyle w:val="KysymyksetChar"/>
              <w:i w:val="0"/>
              <w:iCs w:val="0"/>
              <w:lang w:val="en-US"/>
            </w:rPr>
            <w:alias w:val="Questions"/>
            <w:tag w:val="Fill in the questions here"/>
            <w:id w:val="353243802"/>
            <w:placeholder>
              <w:docPart w:val="580278190E3A4CCF9EA9FE2BF99D8E7F"/>
            </w:placeholder>
            <w:text w:multiLine="1"/>
          </w:sdtPr>
          <w:sdtEndPr>
            <w:rPr>
              <w:rStyle w:val="KysymyksetChar"/>
            </w:rPr>
          </w:sdtEndPr>
          <w:sdtContent>
            <w:p w14:paraId="5FF88058" w14:textId="5216B5D0" w:rsidR="00810134" w:rsidRPr="00BE0F90" w:rsidRDefault="00FD47DD" w:rsidP="00CE5E36">
              <w:pPr>
                <w:pStyle w:val="Lainaus"/>
                <w:ind w:left="0"/>
                <w:jc w:val="left"/>
                <w:rPr>
                  <w:i w:val="0"/>
                  <w:iCs w:val="0"/>
                  <w:color w:val="000000" w:themeColor="text1"/>
                  <w:lang w:val="en-US"/>
                </w:rPr>
              </w:pPr>
              <w:r w:rsidRPr="00BE0F90">
                <w:rPr>
                  <w:rStyle w:val="KysymyksetChar"/>
                  <w:i w:val="0"/>
                  <w:iCs w:val="0"/>
                  <w:lang w:val="en-US"/>
                </w:rPr>
                <w:t>1) Miten perinnönjako toimii Irakissa etenkin tilanteessa, jossa osakkaana on eronnut nainen?</w:t>
              </w:r>
              <w:r w:rsidRPr="00BE0F90">
                <w:rPr>
                  <w:rStyle w:val="KysymyksetChar"/>
                  <w:lang w:val="en-US"/>
                </w:rPr>
                <w:br/>
              </w:r>
              <w:r w:rsidRPr="00BE0F90">
                <w:rPr>
                  <w:rStyle w:val="KysymyksetChar"/>
                  <w:lang w:val="en-US"/>
                </w:rPr>
                <w:br/>
              </w:r>
              <w:r w:rsidRPr="00BE0F90">
                <w:rPr>
                  <w:rStyle w:val="KysymyksetChar"/>
                  <w:i w:val="0"/>
                  <w:iCs w:val="0"/>
                  <w:lang w:val="en-US"/>
                </w:rPr>
                <w:t xml:space="preserve">2) Mitä asiakirjoja perilliseltä tarvitaan </w:t>
              </w:r>
              <w:r w:rsidR="00E40738" w:rsidRPr="00BE0F90">
                <w:rPr>
                  <w:rStyle w:val="KysymyksetChar"/>
                  <w:i w:val="0"/>
                  <w:iCs w:val="0"/>
                  <w:lang w:val="en-US"/>
                </w:rPr>
                <w:t>perinnönjakoa</w:t>
              </w:r>
              <w:r w:rsidRPr="00BE0F90">
                <w:rPr>
                  <w:rStyle w:val="KysymyksetChar"/>
                  <w:i w:val="0"/>
                  <w:iCs w:val="0"/>
                  <w:lang w:val="en-US"/>
                </w:rPr>
                <w:t xml:space="preserve"> varten? </w:t>
              </w:r>
              <w:r w:rsidRPr="00BE0F90">
                <w:rPr>
                  <w:rStyle w:val="KysymyksetChar"/>
                  <w:lang w:val="en-US"/>
                </w:rPr>
                <w:br/>
              </w:r>
              <w:r w:rsidRPr="00BE0F90">
                <w:rPr>
                  <w:rStyle w:val="KysymyksetChar"/>
                  <w:i w:val="0"/>
                  <w:iCs w:val="0"/>
                  <w:lang w:val="en-US"/>
                </w:rPr>
                <w:br/>
                <w:t xml:space="preserve">3) Miten </w:t>
              </w:r>
              <w:r w:rsidR="00BB7421" w:rsidRPr="00BE0F90">
                <w:rPr>
                  <w:rStyle w:val="KysymyksetChar"/>
                  <w:i w:val="0"/>
                  <w:iCs w:val="0"/>
                  <w:lang w:val="en-US"/>
                </w:rPr>
                <w:t>perintöä voi hakea</w:t>
              </w:r>
              <w:r w:rsidRPr="00BE0F90">
                <w:rPr>
                  <w:rStyle w:val="KysymyksetChar"/>
                  <w:i w:val="0"/>
                  <w:iCs w:val="0"/>
                  <w:lang w:val="en-US"/>
                </w:rPr>
                <w:t xml:space="preserve"> ulkomailta käsin</w:t>
              </w:r>
              <w:r w:rsidR="00CE5E36" w:rsidRPr="00BE0F90">
                <w:rPr>
                  <w:rStyle w:val="KysymyksetChar"/>
                  <w:i w:val="0"/>
                  <w:iCs w:val="0"/>
                  <w:lang w:val="en-US"/>
                </w:rPr>
                <w:t>?</w:t>
              </w:r>
            </w:p>
          </w:sdtContent>
        </w:sdt>
      </w:sdtContent>
    </w:sdt>
    <w:p w14:paraId="5B60895B" w14:textId="77777777" w:rsidR="00082DFE" w:rsidRPr="008D40B2" w:rsidRDefault="00082DFE" w:rsidP="00C348A3">
      <w:pPr>
        <w:pStyle w:val="Numeroimatonotsikko"/>
        <w:rPr>
          <w:lang w:val="en-US"/>
        </w:rPr>
      </w:pPr>
      <w:r w:rsidRPr="008D40B2">
        <w:rPr>
          <w:lang w:val="en-US"/>
        </w:rPr>
        <w:t>Questions</w:t>
      </w:r>
    </w:p>
    <w:sdt>
      <w:sdtPr>
        <w:rPr>
          <w:rStyle w:val="KysymyksetChar"/>
          <w:lang w:val="en-US"/>
        </w:rPr>
        <w:alias w:val="Questions"/>
        <w:tag w:val="Fill in the questions here"/>
        <w:id w:val="-849104524"/>
        <w:lock w:val="sdtLocked"/>
        <w:placeholder>
          <w:docPart w:val="0392205F7812459CAC0CC493AA2A2056"/>
        </w:placeholder>
        <w:text w:multiLine="1"/>
      </w:sdtPr>
      <w:sdtEndPr>
        <w:rPr>
          <w:rStyle w:val="KysymyksetChar"/>
        </w:rPr>
      </w:sdtEndPr>
      <w:sdtContent>
        <w:p w14:paraId="21825CA6" w14:textId="668803A7" w:rsidR="00082DFE" w:rsidRPr="00CE5E36" w:rsidRDefault="00BB7421" w:rsidP="003C5382">
          <w:pPr>
            <w:pStyle w:val="Lainaus"/>
            <w:ind w:left="0"/>
            <w:jc w:val="left"/>
            <w:rPr>
              <w:rStyle w:val="KysymyksetChar"/>
              <w:lang w:val="en-US"/>
            </w:rPr>
          </w:pPr>
          <w:r w:rsidRPr="00CE5E36">
            <w:rPr>
              <w:rStyle w:val="KysymyksetChar"/>
              <w:lang w:val="en-US"/>
            </w:rPr>
            <w:t xml:space="preserve">1) </w:t>
          </w:r>
          <w:r w:rsidR="008B1BCD">
            <w:rPr>
              <w:rStyle w:val="KysymyksetChar"/>
              <w:lang w:val="en-US"/>
            </w:rPr>
            <w:t>How does the distribution of the estate proceed in Iraq, particularly in a situation where an heir is a divorced woman?</w:t>
          </w:r>
          <w:r>
            <w:rPr>
              <w:rStyle w:val="KysymyksetChar"/>
              <w:lang w:val="en-US"/>
            </w:rPr>
            <w:br/>
            <w:t xml:space="preserve">2) What documents does an heir need to provide for the distribution of the estate? </w:t>
          </w:r>
          <w:r w:rsidR="00CE5E36">
            <w:rPr>
              <w:rStyle w:val="KysymyksetChar"/>
              <w:lang w:val="en-US"/>
            </w:rPr>
            <w:br/>
            <w:t xml:space="preserve">3) </w:t>
          </w:r>
          <w:r>
            <w:rPr>
              <w:rStyle w:val="KysymyksetChar"/>
              <w:lang w:val="en-US"/>
            </w:rPr>
            <w:t>How can an heir manage the distribution of the estate from abroad?</w:t>
          </w:r>
          <w:r w:rsidRPr="00CE5E36">
            <w:rPr>
              <w:rStyle w:val="KysymyksetChar"/>
              <w:lang w:val="en-US"/>
            </w:rPr>
            <w:t xml:space="preserve"> </w:t>
          </w:r>
        </w:p>
      </w:sdtContent>
    </w:sdt>
    <w:p w14:paraId="74B7D2D8" w14:textId="19B0818B" w:rsidR="006F130C" w:rsidRPr="00C82F4F" w:rsidRDefault="00BE0F90" w:rsidP="00082DFE">
      <w:pPr>
        <w:pStyle w:val="LeiptekstiMigri"/>
        <w:ind w:left="0"/>
        <w:rPr>
          <w:b/>
        </w:rPr>
      </w:pPr>
      <w:r>
        <w:rPr>
          <w:b/>
        </w:rPr>
        <w:pict w14:anchorId="6A192D83">
          <v:rect id="_x0000_i1028" style="width:0;height:1.5pt" o:hralign="center" o:bullet="t" o:hrstd="t" o:hr="t" fillcolor="#a0a0a0" stroked="f"/>
        </w:pict>
      </w:r>
    </w:p>
    <w:p w14:paraId="408CC36D" w14:textId="567C641E" w:rsidR="00543F66" w:rsidRDefault="00CE5E36" w:rsidP="00543F66">
      <w:pPr>
        <w:pStyle w:val="Otsikko1"/>
      </w:pPr>
      <w:bookmarkStart w:id="0" w:name="_Hlk129259295"/>
      <w:r w:rsidRPr="00CE5E36">
        <w:t>Miten perinnönjako toimii Irakissa etenkin tilanteessa, jossa osakkaana on eronnut nainen?</w:t>
      </w:r>
    </w:p>
    <w:p w14:paraId="2AD4CF47" w14:textId="6643EC66" w:rsidR="00C82F4F" w:rsidRDefault="00C82F4F" w:rsidP="00CE5E36">
      <w:pPr>
        <w:pStyle w:val="LeiptekstiMigri"/>
        <w:ind w:left="0"/>
      </w:pPr>
      <w:r>
        <w:t>Kyselyvastauksessa käsitellään perinnönjakoa Irakin keskushallinnon alueella eikä</w:t>
      </w:r>
      <w:r w:rsidR="000A1A48">
        <w:t xml:space="preserve"> asiaa käsitellä</w:t>
      </w:r>
      <w:r>
        <w:t xml:space="preserve"> Irakin Kurdistanin alueella.</w:t>
      </w:r>
    </w:p>
    <w:p w14:paraId="2D32C774" w14:textId="2885FB20" w:rsidR="00CE5E36" w:rsidRDefault="00CE5E36" w:rsidP="00CE5E36">
      <w:pPr>
        <w:pStyle w:val="LeiptekstiMigri"/>
        <w:ind w:left="0"/>
      </w:pPr>
      <w:r>
        <w:t>Irakissa perintöasiat kuuluvat henkilöoikeudellista asemaa säätävän lainsäädännön alle.</w:t>
      </w:r>
      <w:r w:rsidR="0049569D">
        <w:rPr>
          <w:rStyle w:val="Alaviitteenviite"/>
        </w:rPr>
        <w:footnoteReference w:id="1"/>
      </w:r>
      <w:r>
        <w:t xml:space="preserve"> Irakin lainsäädännössä perinnönjaosta säädetään vuoden 1959 henkilöoikeudellista asemaa koskevassa laissa,</w:t>
      </w:r>
      <w:r>
        <w:rPr>
          <w:rStyle w:val="Alaviitteenviite"/>
        </w:rPr>
        <w:footnoteReference w:id="2"/>
      </w:r>
      <w:r>
        <w:t xml:space="preserve"> ja erityiset tuomioistuimet</w:t>
      </w:r>
      <w:r w:rsidR="005D2B4A">
        <w:t xml:space="preserve"> käsittelevät henkilöoikeudellista asemaa koskevia </w:t>
      </w:r>
      <w:r w:rsidR="005D2B4A">
        <w:lastRenderedPageBreak/>
        <w:t>oikeustapauksia</w:t>
      </w:r>
      <w:r>
        <w:rPr>
          <w:rStyle w:val="Alaviitteenviite"/>
        </w:rPr>
        <w:footnoteReference w:id="3"/>
      </w:r>
      <w:r>
        <w:t xml:space="preserve">. </w:t>
      </w:r>
      <w:r w:rsidR="003D1EC7" w:rsidRPr="00851B79">
        <w:t>Ajatuspaja Carnegie Endowment for International Peacen tutkimusartikkelissa kuvataa</w:t>
      </w:r>
      <w:r w:rsidR="003D1EC7">
        <w:t>n, kuinka v</w:t>
      </w:r>
      <w:r>
        <w:t>uonna 2025 Irakissa tuli voimaan lisäksi uusi shiialaisen ja’fari-lakikoulukunnan mukainen henkilöoikeudellisesta asemasta säätävä säännöskokoelma, joka on vaihtoehtoinen vuoden 1959 laille henkilöoikeudellisissa asioissa kuten avioliittoon- ja eroon, huoltajuuteen ja perintöön liittyvissä asioissa</w:t>
      </w:r>
      <w:r>
        <w:rPr>
          <w:rStyle w:val="Alaviitteenviite"/>
        </w:rPr>
        <w:footnoteReference w:id="4"/>
      </w:r>
      <w:r>
        <w:t xml:space="preserve">. </w:t>
      </w:r>
    </w:p>
    <w:p w14:paraId="101A894E" w14:textId="5E7415A5" w:rsidR="00CE5E36" w:rsidRDefault="00CE5E36" w:rsidP="00CE5E36">
      <w:pPr>
        <w:pStyle w:val="LeiptekstiMigri"/>
        <w:ind w:left="0"/>
      </w:pPr>
      <w:r>
        <w:t>Vuoden 1959 lain sekä 2025 säännöskokoelman artikloissa säädetään perinnönjaosta kuten perimisjärjestyksestä ja perintöosuuksista</w:t>
      </w:r>
      <w:r>
        <w:rPr>
          <w:rStyle w:val="Alaviitteenviite"/>
        </w:rPr>
        <w:footnoteReference w:id="5"/>
      </w:r>
      <w:r>
        <w:t>, minkä lisäksi vuoden 1969 siviiliprosessilaissa n</w:t>
      </w:r>
      <w:r w:rsidR="00225293">
        <w:t>ro</w:t>
      </w:r>
      <w:r>
        <w:t xml:space="preserve"> 83 säädetään perinnön hakemisesta</w:t>
      </w:r>
      <w:r>
        <w:rPr>
          <w:rStyle w:val="Alaviitteenviite"/>
        </w:rPr>
        <w:footnoteReference w:id="6"/>
      </w:r>
      <w:r>
        <w:t xml:space="preserve">. </w:t>
      </w:r>
    </w:p>
    <w:p w14:paraId="651238D8" w14:textId="3AA6F8F8" w:rsidR="00CE5E36" w:rsidRDefault="00CE5E36" w:rsidP="00CE5E36">
      <w:pPr>
        <w:pStyle w:val="LeiptekstiMigri"/>
        <w:ind w:left="0"/>
      </w:pPr>
      <w:r>
        <w:t xml:space="preserve">Vuoden 1959 laki perustuu </w:t>
      </w:r>
      <w:r w:rsidR="008D40B2">
        <w:t>islamilaiseen käytäntöön</w:t>
      </w:r>
      <w:r>
        <w:t>, joskin sitä on luonnehdittu naisten oikeuksien näkökulmasta liberaaliksi suhteessa muiden arabivaltioiden perhelakeihin.</w:t>
      </w:r>
      <w:r>
        <w:rPr>
          <w:rStyle w:val="Alaviitteenviite"/>
        </w:rPr>
        <w:footnoteReference w:id="7"/>
      </w:r>
      <w:r>
        <w:t xml:space="preserve"> Tutkija Harith Al-Dabbaghin mukaan Irakissa ei-muslimi-vähemmistöillä</w:t>
      </w:r>
      <w:r>
        <w:rPr>
          <w:rStyle w:val="Alaviitteenviite"/>
        </w:rPr>
        <w:footnoteReference w:id="8"/>
      </w:r>
      <w:r>
        <w:t xml:space="preserve"> perhelain alaisista asioista voidaan määrätä omien säännösten mukaisesti, kuten historiallisesti on ollut tapana, vaikka uskonnolliset tuomioistuimet on ainakin virallisesti lakkautettu 1960–luvun aikana. Islamilaiseen käytäntöön perustuva henkilökohtaisesta asemasta säätävä vuoden 1959 laki on kuitenkin etuoikeutetussa asemassa ei-muslimien omiin säännöksiin. Sitä noudatetaan tilanteissa, joissa uskonnollisella yhteisöllä ei ole sovellettavaa omaa lakia.</w:t>
      </w:r>
      <w:r>
        <w:rPr>
          <w:rStyle w:val="Alaviitteenviite"/>
        </w:rPr>
        <w:footnoteReference w:id="9"/>
      </w:r>
    </w:p>
    <w:p w14:paraId="071BA990" w14:textId="77777777" w:rsidR="00CE5E36" w:rsidRDefault="00CE5E36" w:rsidP="00CE5E36">
      <w:pPr>
        <w:pStyle w:val="LeiptekstiMigri"/>
        <w:ind w:left="0"/>
      </w:pPr>
      <w:r>
        <w:t>Lähteiden perusteella Irakissa muslimien ja muiden kuin muslimien henkilöoikeudelliseen asemaan liittyviä kysymyksiä käsitellään toisistaan erillisissä tuomioistuimissa.</w:t>
      </w:r>
      <w:r>
        <w:rPr>
          <w:rStyle w:val="Alaviitteenviite"/>
        </w:rPr>
        <w:footnoteReference w:id="10"/>
      </w:r>
      <w:r>
        <w:t xml:space="preserve"> Al-Dabbaghin mukaan jotkut ensimmäisen asteen tuomioistuimisista ovat erikoistuneet perhe- ja perintöasioiden riita-asioihin. Osa näistä tuomioistuimista käsittelee muslimien ja osa muiden uskontojen edustajien perhelain alaisuuteen kuuluvia asioita.</w:t>
      </w:r>
      <w:r>
        <w:rPr>
          <w:rStyle w:val="Alaviitteenviite"/>
        </w:rPr>
        <w:footnoteReference w:id="11"/>
      </w:r>
    </w:p>
    <w:p w14:paraId="24C65F06" w14:textId="77777777" w:rsidR="000E1475" w:rsidRPr="006B2E0E" w:rsidRDefault="000E1475" w:rsidP="000E1475">
      <w:pPr>
        <w:pStyle w:val="LeiptekstiMigri"/>
        <w:ind w:left="0"/>
        <w:rPr>
          <w:b/>
          <w:bCs/>
        </w:rPr>
      </w:pPr>
      <w:r w:rsidRPr="006B2E0E">
        <w:rPr>
          <w:b/>
          <w:bCs/>
        </w:rPr>
        <w:t>Ja’fari-lakikoulukunnan mukainen säännöskokoelma</w:t>
      </w:r>
    </w:p>
    <w:p w14:paraId="69383D19" w14:textId="1B5CDECE" w:rsidR="000E1475" w:rsidRDefault="000E1475" w:rsidP="000E1475">
      <w:pPr>
        <w:pStyle w:val="LeiptekstiMigri"/>
        <w:ind w:left="0"/>
      </w:pPr>
      <w:r w:rsidRPr="00851B79">
        <w:t>Ajatuspaja Carnegie Endowment for International Peacen tutkimusartikkelissa kuvataa</w:t>
      </w:r>
      <w:r>
        <w:t xml:space="preserve">n, kuinka </w:t>
      </w:r>
      <w:r w:rsidR="003F4333">
        <w:t>vuoden</w:t>
      </w:r>
      <w:r>
        <w:t xml:space="preserve"> 1959 </w:t>
      </w:r>
      <w:r w:rsidR="004F7A43">
        <w:t>henkilöoikeudellisesta asemasta säätävä</w:t>
      </w:r>
      <w:r>
        <w:t xml:space="preserve"> laki koski kaikkia irakilaisia yhtäläisesti 2000-luvulle asti. Vuonna 2005 säädetty uusi perustuslaki mahdollisti sen, että henkilöoikeudelliseen asemaan liittyvistä asioista voidaan säätää laissa erikseen eri uskontokuntien omien käytäntöjen mukaisesti</w:t>
      </w:r>
      <w:r>
        <w:rPr>
          <w:rStyle w:val="Alaviitteenviite"/>
        </w:rPr>
        <w:footnoteReference w:id="12"/>
      </w:r>
      <w:r>
        <w:t xml:space="preserve">. Tammikuussa 2025 Irakin parlamentti hyväksyi </w:t>
      </w:r>
      <w:r w:rsidR="008D40B2">
        <w:t xml:space="preserve">henkilöoikeudellista asemaa koskevaan </w:t>
      </w:r>
      <w:r>
        <w:t>lakiin</w:t>
      </w:r>
      <w:r w:rsidR="0071210C">
        <w:t xml:space="preserve"> (188/1959)</w:t>
      </w:r>
      <w:r>
        <w:t xml:space="preserve"> muutoksen, jonka perusteella vuoden 1959 lain rinnalle luotiin uusi shiialaisen oikeuskäytännön mukainen henkilöoikeudellisesta </w:t>
      </w:r>
      <w:r>
        <w:lastRenderedPageBreak/>
        <w:t>asemaa koskeva säännöskokoelma</w:t>
      </w:r>
      <w:r>
        <w:rPr>
          <w:rStyle w:val="Alaviitteenviite"/>
        </w:rPr>
        <w:footnoteReference w:id="13"/>
      </w:r>
      <w:r>
        <w:t>.</w:t>
      </w:r>
      <w:r>
        <w:rPr>
          <w:rStyle w:val="Alaviitteenviite"/>
        </w:rPr>
        <w:footnoteReference w:id="14"/>
      </w:r>
      <w:r>
        <w:t xml:space="preserve"> Muutosta on kritisoitu sen vuoksi, että uuden säännöskokoelman nähdään heikentävän merkittävästi naisten asemaa Irakissa.</w:t>
      </w:r>
      <w:r>
        <w:rPr>
          <w:rStyle w:val="Alaviitteenviite"/>
        </w:rPr>
        <w:footnoteReference w:id="15"/>
      </w:r>
    </w:p>
    <w:p w14:paraId="2D8CD2B5" w14:textId="2AD7C306" w:rsidR="000E1475" w:rsidRDefault="000E1475" w:rsidP="000E1475">
      <w:pPr>
        <w:pStyle w:val="LeiptekstiMigri"/>
        <w:ind w:left="0"/>
      </w:pPr>
      <w:r>
        <w:t>Ihmisoikeusjärjestö Human Rights Watchin artikkelin mukaan vuoden 1959 lakiin tehdyn muutoksen mukaan irakilaisen muslimipariskunnan rekisteröidessään avioliittonsa he voivat valita, sovelletaanko heidän ja heidän alaikäisten lastensa henkilöoikeudelliseen asemaansa uutta säännöstöä vai vuoden 1959 lakia. Valintaa ei voi peruuttaa.</w:t>
      </w:r>
      <w:r>
        <w:rPr>
          <w:rStyle w:val="Alaviitteenviite"/>
        </w:rPr>
        <w:footnoteReference w:id="16"/>
      </w:r>
      <w:r>
        <w:t xml:space="preserve"> Lakia on kuitenkin kritisoitu siitä, ettei ja’fari-säännöstön noudattaminen ole välttämättä tosiasiallisesti vapaaehtoista.</w:t>
      </w:r>
      <w:r>
        <w:rPr>
          <w:rStyle w:val="Alaviitteenviite"/>
        </w:rPr>
        <w:footnoteReference w:id="17"/>
      </w:r>
      <w:r>
        <w:t xml:space="preserve"> Human Rights Watch on esimerkiksi raportoinut</w:t>
      </w:r>
      <w:r w:rsidR="003F4333">
        <w:t xml:space="preserve"> tapauksesta, jossa mies on</w:t>
      </w:r>
      <w:r>
        <w:t xml:space="preserve"> käyttän</w:t>
      </w:r>
      <w:r w:rsidR="003F4333">
        <w:t>y</w:t>
      </w:r>
      <w:r>
        <w:t>t uutta säännöstöä naisen tahdon vastaisesti</w:t>
      </w:r>
      <w:r w:rsidR="003F4333">
        <w:t xml:space="preserve"> avioeroon jälkeen</w:t>
      </w:r>
      <w:r>
        <w:t xml:space="preserve"> saadakseen lasten huoltajuuden.</w:t>
      </w:r>
      <w:r>
        <w:rPr>
          <w:rStyle w:val="Alaviitteenviite"/>
        </w:rPr>
        <w:footnoteReference w:id="18"/>
      </w:r>
      <w:r>
        <w:t xml:space="preserve"> Lain raportoidaan koskevan vain shiiamuslimeja.</w:t>
      </w:r>
      <w:r>
        <w:rPr>
          <w:rStyle w:val="Alaviitteenviite"/>
        </w:rPr>
        <w:footnoteReference w:id="19"/>
      </w:r>
    </w:p>
    <w:p w14:paraId="0E7C2F71" w14:textId="43B18BA8" w:rsidR="000E1475" w:rsidRDefault="0041494B" w:rsidP="000E1475">
      <w:pPr>
        <w:pStyle w:val="LeiptekstiMigri"/>
        <w:ind w:left="0"/>
      </w:pPr>
      <w:r>
        <w:t>Ihmisoikeusjärjestö Equality Now:n artikkelin mukaan uusi ja’fari-lakikoulukunnan mukainen säännöstö heikentää vaimojen oikeutta perintöön estämällä sen, että vaimot voisivat periä kiinteistö- tai maaomaisuutta (real estate) miehiltään</w:t>
      </w:r>
      <w:r w:rsidR="00393513">
        <w:t>. Sen sijaan vaimot voisivat periä</w:t>
      </w:r>
      <w:r>
        <w:t xml:space="preserve"> kiinteistöosuuden </w:t>
      </w:r>
      <w:r w:rsidR="00BD051F">
        <w:t>arvoa vastaavan summan</w:t>
      </w:r>
      <w:r w:rsidR="00393513">
        <w:t xml:space="preserve"> </w:t>
      </w:r>
      <w:r>
        <w:t>rahaa.</w:t>
      </w:r>
      <w:r>
        <w:rPr>
          <w:rStyle w:val="Alaviitteenviite"/>
        </w:rPr>
        <w:footnoteReference w:id="20"/>
      </w:r>
      <w:r>
        <w:t xml:space="preserve"> </w:t>
      </w:r>
      <w:r w:rsidR="000E1475" w:rsidRPr="00394792">
        <w:t xml:space="preserve">On </w:t>
      </w:r>
      <w:r w:rsidR="002965B5" w:rsidRPr="00394792">
        <w:t xml:space="preserve">kuitenkin </w:t>
      </w:r>
      <w:r w:rsidR="000E1475" w:rsidRPr="00394792">
        <w:t>epäselvää,</w:t>
      </w:r>
      <w:r w:rsidR="000E1475">
        <w:t xml:space="preserve"> miten säännöstöä on perintöasioissa käytännössä sovellettu. Suurin osa lakimuutosta ja uutta säännöskokoelmaa käsittelevää raportointia liittyy huoliin naisten aseman heikentymisestä erityisesti erotilanteessa ja lasten huoltajuusasioissa,</w:t>
      </w:r>
      <w:r w:rsidR="000E1475">
        <w:rPr>
          <w:rStyle w:val="Alaviitteenviite"/>
        </w:rPr>
        <w:footnoteReference w:id="21"/>
      </w:r>
      <w:r w:rsidR="000E1475">
        <w:t xml:space="preserve"> ei niinkään perintöasioihin.</w:t>
      </w:r>
    </w:p>
    <w:p w14:paraId="6996B814" w14:textId="38E69634" w:rsidR="000E1475" w:rsidRPr="000E1475" w:rsidRDefault="000E1475" w:rsidP="000E1475">
      <w:pPr>
        <w:pStyle w:val="LeiptekstiMigri"/>
        <w:ind w:left="0"/>
        <w:rPr>
          <w:b/>
          <w:bCs/>
        </w:rPr>
      </w:pPr>
      <w:r>
        <w:rPr>
          <w:b/>
          <w:bCs/>
        </w:rPr>
        <w:t>Perintöosuudet</w:t>
      </w:r>
    </w:p>
    <w:p w14:paraId="2D6390CB" w14:textId="3BC7AED6" w:rsidR="00C73134" w:rsidRDefault="00946073" w:rsidP="00C73134">
      <w:pPr>
        <w:pStyle w:val="LeiptekstiMigri"/>
        <w:ind w:left="0"/>
      </w:pPr>
      <w:r>
        <w:t xml:space="preserve">Irakin perintölainsäädäntöä ja kyberrikollisuutta käsittelevässä tutkimusartikkelissa (Alkhafagy et al.) kuvataan, kuinka islamilaiset käytännöt vaikuttavat </w:t>
      </w:r>
      <w:r w:rsidR="008B7E01">
        <w:t>Irakin</w:t>
      </w:r>
      <w:r>
        <w:t xml:space="preserve"> perintölainsäädäntöön, minkä seurauksena perintö jakautuu sukulaisille ennalta määrättyjen osuuksien perusteella. Osuudet perustuvat henkilön sukulaisuussuhteeseen vainajaan nähden. Shiia- ja sunniperinteiden välillä on</w:t>
      </w:r>
      <w:r w:rsidR="004E6083">
        <w:t xml:space="preserve"> lähteen mukaan</w:t>
      </w:r>
      <w:r>
        <w:t xml:space="preserve"> joitakin eroja.</w:t>
      </w:r>
      <w:r>
        <w:rPr>
          <w:rStyle w:val="Alaviitteenviite"/>
        </w:rPr>
        <w:footnoteReference w:id="22"/>
      </w:r>
      <w:r>
        <w:t xml:space="preserve">  </w:t>
      </w:r>
      <w:r w:rsidR="00F14DE8">
        <w:t>L</w:t>
      </w:r>
      <w:r w:rsidR="00582D5B">
        <w:t>isäksi l</w:t>
      </w:r>
      <w:r w:rsidR="00F14DE8">
        <w:t>ain mukaan</w:t>
      </w:r>
      <w:r w:rsidR="00C73134">
        <w:t xml:space="preserve"> henkilö voi testamentata osan perinnöstään</w:t>
      </w:r>
      <w:r w:rsidR="00582D5B">
        <w:t>.</w:t>
      </w:r>
      <w:r w:rsidR="006E1E84">
        <w:rPr>
          <w:rStyle w:val="Alaviitteenviite"/>
        </w:rPr>
        <w:footnoteReference w:id="23"/>
      </w:r>
      <w:r w:rsidR="00C73134">
        <w:t xml:space="preserve"> </w:t>
      </w:r>
      <w:r w:rsidR="0064673D">
        <w:t xml:space="preserve">Ns. lakisääteisiin </w:t>
      </w:r>
      <w:r w:rsidR="00B53659">
        <w:t>p</w:t>
      </w:r>
      <w:r w:rsidR="00582D5B">
        <w:t>erintöo</w:t>
      </w:r>
      <w:r w:rsidR="00C73134">
        <w:t>suuksiin vaikuttaa se, kuinka paljon ja keitä muita mahdollisia perillisiä on olemassa</w:t>
      </w:r>
      <w:r w:rsidR="00674BA9">
        <w:t xml:space="preserve"> (ks. alla)</w:t>
      </w:r>
      <w:r w:rsidR="00C73134">
        <w:t>. Naiset tyypillisesti perivät miespuolisia perillisiä vähemmän.</w:t>
      </w:r>
      <w:r w:rsidR="00C73134">
        <w:rPr>
          <w:rStyle w:val="Alaviitteenviite"/>
        </w:rPr>
        <w:footnoteReference w:id="24"/>
      </w:r>
      <w:r w:rsidR="006E1E84">
        <w:t xml:space="preserve"> </w:t>
      </w:r>
    </w:p>
    <w:p w14:paraId="5FB67AFC" w14:textId="2BE25FEE" w:rsidR="00C73134" w:rsidRDefault="00C73134" w:rsidP="00C73134">
      <w:pPr>
        <w:pStyle w:val="LeiptekstiMigri"/>
        <w:ind w:left="0"/>
      </w:pPr>
      <w:r>
        <w:t>Esimerkkejä perintöosuuksista:</w:t>
      </w:r>
    </w:p>
    <w:p w14:paraId="7698FB12" w14:textId="5B5B29C1" w:rsidR="00C73134" w:rsidRDefault="00C3026C" w:rsidP="00C73134">
      <w:pPr>
        <w:pStyle w:val="LeiptekstiMigri"/>
        <w:numPr>
          <w:ilvl w:val="0"/>
          <w:numId w:val="35"/>
        </w:numPr>
      </w:pPr>
      <w:r>
        <w:t>Henkilöoikeudellisesta asemasta säätävän l</w:t>
      </w:r>
      <w:r w:rsidR="00674BA9">
        <w:t>ain 188 artiklan 91</w:t>
      </w:r>
      <w:r w:rsidR="00C73134">
        <w:t xml:space="preserve"> mukaan aviomies perii puolet vaimon jättämästä perinnöstä, mikäli lapsia ei ole ja neljänneksen, mikäli lapsia on. Vaimo taas perii neljänneksen, mikäli lapsia ei ole ja kahdeksannen, mikäli lapsia on.</w:t>
      </w:r>
      <w:r w:rsidR="00C73134">
        <w:rPr>
          <w:rStyle w:val="Alaviitteenviite"/>
        </w:rPr>
        <w:footnoteReference w:id="25"/>
      </w:r>
    </w:p>
    <w:p w14:paraId="386398FB" w14:textId="4512ECC0" w:rsidR="00882855" w:rsidRDefault="00882855" w:rsidP="00C73134">
      <w:pPr>
        <w:pStyle w:val="LeiptekstiMigri"/>
        <w:numPr>
          <w:ilvl w:val="0"/>
          <w:numId w:val="35"/>
        </w:numPr>
      </w:pPr>
      <w:r>
        <w:t xml:space="preserve">Lain 188 artiklan 91 mukaan tytär tai tyttäret voivat periä koko perinnön, mikäli muita perillisiä ei ole, ja jos poikalapsia ei ole, he voivat periä loput perinnöstä, kun muiden perillisten </w:t>
      </w:r>
      <w:r w:rsidR="00D73C3B">
        <w:t>osuudet</w:t>
      </w:r>
      <w:r>
        <w:t xml:space="preserve"> on vähennetty perinnöstä.</w:t>
      </w:r>
      <w:r>
        <w:rPr>
          <w:rStyle w:val="Alaviitteenviite"/>
        </w:rPr>
        <w:footnoteReference w:id="26"/>
      </w:r>
    </w:p>
    <w:p w14:paraId="65E4E676" w14:textId="7726E8AF" w:rsidR="00C73134" w:rsidRDefault="00C73134" w:rsidP="00C73134">
      <w:pPr>
        <w:pStyle w:val="LeiptekstiMigri"/>
        <w:numPr>
          <w:ilvl w:val="0"/>
          <w:numId w:val="35"/>
        </w:numPr>
      </w:pPr>
      <w:r>
        <w:lastRenderedPageBreak/>
        <w:t xml:space="preserve">Irakilaisen Al-Ghanim-asianajajatoimiston mukaan tytär perii puolet vanhemman jättämästä perinnöstä, mikäli hän on ainut lapsi, useampi tytär perii yhteensä 2/3 ja mikäli perijöinä on myös poikalapsia, tytär perii puolet siitä, mitä poikalapsi. Poikalapsi perii koko perinnön, mikäli muita perillisiä ei ole ja hän perii myös loput perinnöstä sen jälkeen, kun muiden perillisten </w:t>
      </w:r>
      <w:r w:rsidR="00D73C3B">
        <w:t>osuudet</w:t>
      </w:r>
      <w:r>
        <w:t xml:space="preserve"> on vähennetty perinnöstä.</w:t>
      </w:r>
      <w:r>
        <w:rPr>
          <w:rStyle w:val="Alaviitteenviite"/>
        </w:rPr>
        <w:footnoteReference w:id="27"/>
      </w:r>
    </w:p>
    <w:p w14:paraId="196A1FB3" w14:textId="77777777" w:rsidR="00C73134" w:rsidRDefault="00C73134" w:rsidP="00C73134">
      <w:pPr>
        <w:pStyle w:val="LeiptekstiMigri"/>
        <w:numPr>
          <w:ilvl w:val="0"/>
          <w:numId w:val="35"/>
        </w:numPr>
      </w:pPr>
      <w:r>
        <w:t>Irakilaisen Al-Ghanim-asianajajatoimiston mukaan pojantytär tai pojanpoika voi periä osan isoisänsä perillisenä siinä tapauksessa, että isoisällä ei ole elossa olevia lapsia. Pojanpoika voi periä koko perinnön siinä tapauksessa, että muita perillisiä ei ole.</w:t>
      </w:r>
      <w:r>
        <w:rPr>
          <w:rStyle w:val="Alaviitteenviite"/>
        </w:rPr>
        <w:footnoteReference w:id="28"/>
      </w:r>
    </w:p>
    <w:p w14:paraId="3D289470" w14:textId="77777777" w:rsidR="00CE5E36" w:rsidRPr="003B1496" w:rsidRDefault="00CE5E36" w:rsidP="00CE5E36">
      <w:pPr>
        <w:pStyle w:val="LeiptekstiMigri"/>
        <w:ind w:left="0"/>
        <w:rPr>
          <w:b/>
          <w:bCs/>
        </w:rPr>
      </w:pPr>
      <w:r>
        <w:rPr>
          <w:b/>
          <w:bCs/>
        </w:rPr>
        <w:t>Naisten asema perillisinä Irakissa</w:t>
      </w:r>
    </w:p>
    <w:p w14:paraId="58D35E35" w14:textId="1FF2659E" w:rsidR="00CE5E36" w:rsidRDefault="00CE5E36" w:rsidP="00CE5E36">
      <w:pPr>
        <w:pStyle w:val="LeiptekstiMigri"/>
        <w:ind w:left="0"/>
      </w:pPr>
      <w:r>
        <w:t>Naiset voivat lain mukaan periä, vaikka heidän lain takaama osuutensa perinnöstä on yleensä miespuolista perillistä pienempi (</w:t>
      </w:r>
      <w:r w:rsidR="00D243D7">
        <w:t>esim</w:t>
      </w:r>
      <w:r>
        <w:t>. tyttäret perivät vähemmän kuin pojat, ks. yllä).</w:t>
      </w:r>
      <w:r>
        <w:rPr>
          <w:rStyle w:val="Alaviitteenviite"/>
        </w:rPr>
        <w:footnoteReference w:id="29"/>
      </w:r>
      <w:r w:rsidRPr="004E3DC3">
        <w:t xml:space="preserve"> </w:t>
      </w:r>
      <w:r>
        <w:t>Nirij-verkkomedian haastatteleman asianajajan mukaan Irakin vuoden 1959 lain (</w:t>
      </w:r>
      <w:r w:rsidR="00911FD2">
        <w:t>nro</w:t>
      </w:r>
      <w:r>
        <w:t xml:space="preserve"> 188) mukaan </w:t>
      </w:r>
      <w:r w:rsidRPr="006558AE">
        <w:t>kaikki naiset rooliinsa katsomatta (tytär, vaimo, äiti, isoäiti, sisko, täti tai serkku) voivat periä.</w:t>
      </w:r>
      <w:r w:rsidRPr="006558AE">
        <w:rPr>
          <w:rStyle w:val="Alaviitteenviite"/>
        </w:rPr>
        <w:footnoteReference w:id="30"/>
      </w:r>
    </w:p>
    <w:p w14:paraId="3FD20912" w14:textId="119D6730" w:rsidR="00CE5E36" w:rsidRDefault="00CE5E36" w:rsidP="00CE5E36">
      <w:pPr>
        <w:pStyle w:val="LeiptekstiMigri"/>
        <w:ind w:left="0"/>
      </w:pPr>
      <w:r>
        <w:t xml:space="preserve">Eri lähteiden mukaan naiset voivat </w:t>
      </w:r>
      <w:r w:rsidR="00F97C07">
        <w:t xml:space="preserve">kuitenkin </w:t>
      </w:r>
      <w:r>
        <w:t>käytännössä jäädä ilman perintöä, vaikka heillä olisi laillinen oikeus perintöön.</w:t>
      </w:r>
      <w:r>
        <w:rPr>
          <w:rStyle w:val="Alaviitteenviite"/>
        </w:rPr>
        <w:footnoteReference w:id="31"/>
      </w:r>
      <w:r w:rsidRPr="00594793">
        <w:t xml:space="preserve"> </w:t>
      </w:r>
      <w:r>
        <w:t>Syyt tälle liittyvät erityisesti perinteisiin ja perheiden käytänteisiin.</w:t>
      </w:r>
      <w:r>
        <w:rPr>
          <w:rStyle w:val="Alaviitteenviite"/>
        </w:rPr>
        <w:footnoteReference w:id="32"/>
      </w:r>
      <w:r>
        <w:t xml:space="preserve"> </w:t>
      </w:r>
    </w:p>
    <w:p w14:paraId="77B2CE01" w14:textId="77777777" w:rsidR="00CE5E36" w:rsidRDefault="00CE5E36" w:rsidP="00CE5E36">
      <w:pPr>
        <w:pStyle w:val="LeiptekstiMigri"/>
        <w:ind w:left="0"/>
      </w:pPr>
      <w:r>
        <w:t>Keskeinen syy sille, että naisilta kielletään perintö, liittyy perheiden ja heimojen haluttomuuteen saattaa omaisuuttaan naisen aviomiehen eli (mahdollisesti) heimon ja/tai perheen ulkopuolisen tahon käsiin.</w:t>
      </w:r>
      <w:r>
        <w:rPr>
          <w:rStyle w:val="Alaviitteenviite"/>
        </w:rPr>
        <w:footnoteReference w:id="33"/>
      </w:r>
      <w:r>
        <w:t xml:space="preserve"> Nirij-verkkomedian artikkelin mukaan tämä koskee erityisesti kiinteistö- tai maaomistuksia. Perintö voidaan nähdä perheen tai klaanin omaisuutena siinä missä naisten katsotaan avioliitossa siirtyvän miehensä alaisuuteen tai ”omistukseen”. Artikkelia varten haastatellun tutkijan Rana Mohsenin mukaan tyttäret jättävät perheen avioituessaan, ja monet perheet eivät halua huolehtia esimerkiksi eronneen naisen lapsista, vaan he katsovat lasten kuuluvan miehen perheen kontolle.</w:t>
      </w:r>
      <w:r>
        <w:rPr>
          <w:rStyle w:val="Alaviitteenviite"/>
        </w:rPr>
        <w:footnoteReference w:id="34"/>
      </w:r>
      <w:r>
        <w:t xml:space="preserve"> Shafaq Newsin artikkelissa mainitaan lisäksi, että naisen pyrkimys hakea perintöosuuttaan voidaan nähdä ”häpeällisenä”.</w:t>
      </w:r>
      <w:r>
        <w:rPr>
          <w:rStyle w:val="Alaviitteenviite"/>
        </w:rPr>
        <w:footnoteReference w:id="35"/>
      </w:r>
    </w:p>
    <w:p w14:paraId="2195EDBB" w14:textId="77777777" w:rsidR="00CE5E36" w:rsidRDefault="00CE5E36" w:rsidP="00CE5E36">
      <w:pPr>
        <w:pStyle w:val="LeiptekstiMigri"/>
        <w:ind w:left="0"/>
      </w:pPr>
      <w:r>
        <w:t>Irakilaisnaisten asemaa kaupungeissa ja maaseudulla vertaavan tutkimuksen mukaan naimattomia naisia painostetaan usein siirtämään perintönsä veljilleen ja myös naimisissa olevan naisen voidaan odottaa luopuvan perinnöstään, koska hänen miehensä katsotaan olevan hänestä taloudellisesti vastuussa.</w:t>
      </w:r>
      <w:r>
        <w:rPr>
          <w:rStyle w:val="Alaviitteenviite"/>
        </w:rPr>
        <w:footnoteReference w:id="36"/>
      </w:r>
    </w:p>
    <w:p w14:paraId="0FCDF208" w14:textId="77777777" w:rsidR="00CE5E36" w:rsidRDefault="00CE5E36" w:rsidP="00CE5E36">
      <w:pPr>
        <w:pStyle w:val="LeiptekstiMigri"/>
        <w:ind w:left="0"/>
      </w:pPr>
      <w:r>
        <w:t>Nirij-verkkomedian artikkeliin haastateltujen asiantuntijoiden mukaan perintöjen kieltäminen naisilta on Irakissa hyvin vältelty aihe, koska yhteiskunnassa ei haluta käsitellä naisiin kohdistuvaa syrjintää eikä erityisesti toimintatapaa, joka on uskonnollisten ideaalien vastainen naisten oikeuden periä ollessa selvästi määritelty islamilaisessa oikeuskäytännössä.</w:t>
      </w:r>
      <w:r>
        <w:rPr>
          <w:rStyle w:val="Alaviitteenviite"/>
        </w:rPr>
        <w:footnoteReference w:id="37"/>
      </w:r>
    </w:p>
    <w:p w14:paraId="6ACAE13D" w14:textId="77777777" w:rsidR="00CE5E36" w:rsidRDefault="00CE5E36" w:rsidP="00CE5E36">
      <w:pPr>
        <w:pStyle w:val="LeiptekstiMigri"/>
        <w:ind w:left="0"/>
      </w:pPr>
      <w:r>
        <w:t>Lähteissä on mainittu joitakin tyypillisiä tapoja, joilla nainen voi Irakissa menettää perintönsä. Perinnön jättäjä voi siirtää omaisuuden miespuolisille lapsilleen jo eläessään</w:t>
      </w:r>
      <w:r>
        <w:rPr>
          <w:rStyle w:val="Alaviitteenviite"/>
        </w:rPr>
        <w:footnoteReference w:id="38"/>
      </w:r>
      <w:r>
        <w:t xml:space="preserve"> tai naista </w:t>
      </w:r>
      <w:r>
        <w:lastRenderedPageBreak/>
        <w:t>voidaan painostaa luopumaan omasta perintöosuudestaan</w:t>
      </w:r>
      <w:r>
        <w:rPr>
          <w:rStyle w:val="Alaviitteenviite"/>
        </w:rPr>
        <w:footnoteReference w:id="39"/>
      </w:r>
      <w:r>
        <w:t>. On mahdollista, että nainen säilyttää muodollisen omistusoikeuden perittyyn omaisuuteen, mutta miespuoliset sisarukset myyvät omaisuuden ilman, että tuottoja jaetaan naispuolisen perijän kanssa.</w:t>
      </w:r>
      <w:r>
        <w:rPr>
          <w:rStyle w:val="Alaviitteenviite"/>
        </w:rPr>
        <w:footnoteReference w:id="40"/>
      </w:r>
      <w:r>
        <w:t xml:space="preserve"> Lisäksi miespuoliset perilliset voivat pyrkiä ohittamaan naispuoliset perilliset toimittamalla viranomaisille virheellistä tietoa perijöistä (ks. alla).</w:t>
      </w:r>
      <w:r>
        <w:rPr>
          <w:rStyle w:val="Alaviitteenviite"/>
        </w:rPr>
        <w:footnoteReference w:id="41"/>
      </w:r>
    </w:p>
    <w:p w14:paraId="042FD42E" w14:textId="77777777" w:rsidR="00CE5E36" w:rsidRDefault="00CE5E36" w:rsidP="00CE5E36">
      <w:pPr>
        <w:pStyle w:val="LeiptekstiMigri"/>
        <w:ind w:left="0"/>
      </w:pPr>
      <w:r>
        <w:t>Tarkkaa tietoa naisten perinnönjaossa ohittamisen yleisyydestä ei ole saatavilla, mutta lähteiden perusteella ilmiö vaikuttaa olevan hyvinkin tavanomainen. Nirij-verkkomedian haastatteleman tutkija Rana Mohsenin mukaan ”suurin osa” isistä siirtää kiinteistöomaisuuden omistusoikeuden miespuolisille lapsilleen eläessään.</w:t>
      </w:r>
      <w:r>
        <w:rPr>
          <w:rStyle w:val="Alaviitteenviite"/>
        </w:rPr>
        <w:footnoteReference w:id="42"/>
      </w:r>
      <w:r>
        <w:t xml:space="preserve"> Shafaq Newsin artikkelissa kuvataan, kuinka tutkijat ja aktivistit ovat huomanneet, että irakilaiset oikeusistuimet käsittelevät vuosittain ”lukemattomia” perinnönjakotilanteisiin liittyviä valituksia, joista suurin osa liittyy tilanteisiin, joissa edesmenneiden vanhempien miespuoliset lapset pyrkivät jättämään naispuoliset sisaruksensa perinnöttä. Näin erityisesti tilanteissa, joissa sisaret ovat naimisissa. Artikkelia varten haastatellun tutkijan mukaan naisista ”suurimmalta osalta” kielletään perintö. Tilanteet ovat yleisiä erityisesti maaseudulla, ja useat naiset luopuvat perintöoikeudestaan vapaaehtoisesti tai painostettuna.</w:t>
      </w:r>
      <w:r>
        <w:rPr>
          <w:rStyle w:val="Alaviitteenviite"/>
        </w:rPr>
        <w:footnoteReference w:id="43"/>
      </w:r>
      <w:r>
        <w:t xml:space="preserve"> Irakilaisnaisten asemaa kaupungeissa ja maaseudulla vertaavassa tutkimuksessa lähes kaikki haastatellut maaseudulla ja 30 % kaupungeissa olivat kokeneet ongelmia perinnön hakemisessa.</w:t>
      </w:r>
      <w:r>
        <w:rPr>
          <w:rStyle w:val="Alaviitteenviite"/>
        </w:rPr>
        <w:footnoteReference w:id="44"/>
      </w:r>
    </w:p>
    <w:p w14:paraId="39EB954B" w14:textId="60D6C07B" w:rsidR="00CE5E36" w:rsidRDefault="00CE5E36" w:rsidP="00CE5E36">
      <w:pPr>
        <w:pStyle w:val="LeiptekstiMigri"/>
        <w:ind w:left="0"/>
      </w:pPr>
      <w:r>
        <w:t>Nirij-verkkomedian artikkelia varten haastatellun tuomarin mukaan naisten haasteet saada perintö</w:t>
      </w:r>
      <w:r w:rsidR="00A825F7">
        <w:t>osuutensa</w:t>
      </w:r>
      <w:r>
        <w:t xml:space="preserve"> eivät juonnu laista, vaan ongelma voi syntyä esimerkiksi tilanteessa, jossa joku perillisistä on hakenut </w:t>
      </w:r>
      <w:r w:rsidR="00A825F7">
        <w:t>tuomio</w:t>
      </w:r>
      <w:r>
        <w:t xml:space="preserve">istuimelta perinnönjakoa, mutta toimittanut </w:t>
      </w:r>
      <w:r w:rsidR="00FF0760">
        <w:t>edesmenneen</w:t>
      </w:r>
      <w:r>
        <w:t xml:space="preserve"> siviilirekisteriotteen (</w:t>
      </w:r>
      <w:r w:rsidRPr="00C65F78">
        <w:rPr>
          <w:i/>
          <w:iCs/>
        </w:rPr>
        <w:t>civil registration</w:t>
      </w:r>
      <w:r>
        <w:t>), josta naispuolisten perheenjäsenten nimet on jätetty pois. Tällaisessa tilanteessa perinnönjaon ulkopuolelle jätetty henkilö voi nostaa kanteen perinnönjaon korjaamiseksi (</w:t>
      </w:r>
      <w:r w:rsidRPr="00C65F78">
        <w:rPr>
          <w:i/>
          <w:iCs/>
        </w:rPr>
        <w:t>probate correction</w:t>
      </w:r>
      <w:r>
        <w:t xml:space="preserve">). Toisen tuomarin mukaan perintöasioita hoitavat </w:t>
      </w:r>
      <w:r w:rsidR="008D6C72">
        <w:t>tuomio</w:t>
      </w:r>
      <w:r>
        <w:t xml:space="preserve">istuimet ovat ruuhkautuneet vastaavista tapauksista, joskin </w:t>
      </w:r>
      <w:r w:rsidR="008D6C72">
        <w:t>tuomio</w:t>
      </w:r>
      <w:r>
        <w:t>istuimet hakevat nykyään vaadittavat siviilirekisteritiedot usein itse, mikä vähentää väärinkäytösten mahdollisuutta.</w:t>
      </w:r>
      <w:r>
        <w:rPr>
          <w:rStyle w:val="Alaviitteenviite"/>
        </w:rPr>
        <w:footnoteReference w:id="45"/>
      </w:r>
      <w:r>
        <w:t xml:space="preserve"> </w:t>
      </w:r>
    </w:p>
    <w:p w14:paraId="1DCB3B02" w14:textId="77777777" w:rsidR="00CE5E36" w:rsidRPr="00D57B4D" w:rsidRDefault="00CE5E36" w:rsidP="00CE5E36">
      <w:pPr>
        <w:pStyle w:val="LeiptekstiMigri"/>
        <w:ind w:left="0"/>
        <w:rPr>
          <w:b/>
          <w:bCs/>
        </w:rPr>
      </w:pPr>
      <w:r w:rsidRPr="00D57B4D">
        <w:rPr>
          <w:b/>
          <w:bCs/>
        </w:rPr>
        <w:t>Eronneen naisen oikeus perintöön</w:t>
      </w:r>
    </w:p>
    <w:p w14:paraId="18A3909F" w14:textId="77777777" w:rsidR="00CE5E36" w:rsidRDefault="00CE5E36" w:rsidP="00CE5E36">
      <w:pPr>
        <w:pStyle w:val="LeiptekstiMigri"/>
        <w:ind w:left="0"/>
      </w:pPr>
      <w:r>
        <w:t>Irakilaisen asianajajatoimiston Muayad &amp; Associatesin sivustojen mukaan, jotta nainen voi periä aviomiehensä heidän avioliittosopimuksensa on oltava voimassa aviomiehen kuollessa.</w:t>
      </w:r>
      <w:r>
        <w:rPr>
          <w:rStyle w:val="Alaviitteenviite"/>
        </w:rPr>
        <w:footnoteReference w:id="46"/>
      </w:r>
      <w:r>
        <w:t xml:space="preserve"> Irakin korkeimman tuomarineuvoston verkkosivuilla käsitellään ns. </w:t>
      </w:r>
      <w:r w:rsidRPr="0013753E">
        <w:t>khul’-avioeroa</w:t>
      </w:r>
      <w:r w:rsidRPr="0013753E">
        <w:rPr>
          <w:rStyle w:val="Alaviitteenviite"/>
        </w:rPr>
        <w:footnoteReference w:id="47"/>
      </w:r>
      <w:r w:rsidRPr="0013753E">
        <w:t>,</w:t>
      </w:r>
      <w:r>
        <w:t xml:space="preserve"> ja todetaan, että khul’-avioero tai oikeuden myöntämä ero ei oikeuta perimään puolisoa, mutta tilanteessa, jossa kyseessä on ns. kumottavissa oleva ero, puolison perimisoikeus on olemassa mikäli toinen puolisoista menehtyy odotusajan eli iddan aikana.</w:t>
      </w:r>
      <w:r>
        <w:rPr>
          <w:rStyle w:val="Alaviitteenviite"/>
        </w:rPr>
        <w:footnoteReference w:id="48"/>
      </w:r>
    </w:p>
    <w:p w14:paraId="55EFF5E2" w14:textId="6DF1A348" w:rsidR="00CE5E36" w:rsidRDefault="00CE5E36" w:rsidP="00CE5E36">
      <w:pPr>
        <w:pStyle w:val="LeiptekstiMigri"/>
        <w:ind w:left="0"/>
      </w:pPr>
      <w:r>
        <w:t>Käytettävissä olevien lähteiden perusteella on vaikea saada tietoa siitä, vaikuttaako eronneen naisen siviilisääty hänen oikeuteensa periä verisukulaisensa kuten vanhempansa. Simaet Bhatha -sivustolla vastataan kysymykseen eläkkeen perimisestä, ja sanotaan, että naimaton tytär voi periä valtiolle työskennelleen vanhempansa eläkkeen</w:t>
      </w:r>
      <w:r w:rsidR="008D6C72">
        <w:t xml:space="preserve"> (tietyssä tilanteessa)</w:t>
      </w:r>
      <w:r>
        <w:t xml:space="preserve"> myös siinä </w:t>
      </w:r>
      <w:r>
        <w:lastRenderedPageBreak/>
        <w:t>tapauksessa, että hän on eronnut. Naimisissa oleva nainen ei voisi taas periä vanhempansa eläkettä.</w:t>
      </w:r>
      <w:r>
        <w:rPr>
          <w:rStyle w:val="Alaviitteenviite"/>
        </w:rPr>
        <w:footnoteReference w:id="49"/>
      </w:r>
    </w:p>
    <w:p w14:paraId="65DCE531" w14:textId="7A80C258" w:rsidR="00CE5E36" w:rsidRDefault="00905231" w:rsidP="00CE5E36">
      <w:pPr>
        <w:pStyle w:val="Otsikko1"/>
      </w:pPr>
      <w:r w:rsidRPr="00905231">
        <w:t>Mitä asiakirjoja perilliseltä tarvitaan perinnönjakoa varten</w:t>
      </w:r>
      <w:r w:rsidR="00CE5E36">
        <w:t>?</w:t>
      </w:r>
    </w:p>
    <w:p w14:paraId="334EC0B3" w14:textId="28D3D6AB" w:rsidR="006B5865" w:rsidRDefault="006B5865" w:rsidP="006B5865">
      <w:pPr>
        <w:pStyle w:val="LeiptekstiMigri"/>
        <w:ind w:left="0"/>
      </w:pPr>
      <w:r>
        <w:t>Käytettävissä olevien lähteiden perusteella perinnön hakemiseen vaadittavat asiakirjat jäävät epäselväksi. Lähteiden perusteella esimerkiksi</w:t>
      </w:r>
      <w:r w:rsidR="003B75FC">
        <w:t xml:space="preserve"> kuka</w:t>
      </w:r>
      <w:r>
        <w:t xml:space="preserve"> tahansa perillisistä voi jättää tuomioistuimelle hakemuksen</w:t>
      </w:r>
      <w:r w:rsidR="00A74B58" w:rsidRPr="00A74B58">
        <w:t xml:space="preserve"> </w:t>
      </w:r>
      <w:r w:rsidR="00A74B58">
        <w:t>perintötodistuksesta</w:t>
      </w:r>
      <w:r>
        <w:t>,</w:t>
      </w:r>
      <w:r>
        <w:rPr>
          <w:rStyle w:val="Alaviitteenviite"/>
        </w:rPr>
        <w:footnoteReference w:id="50"/>
      </w:r>
      <w:r>
        <w:t xml:space="preserve"> mutta ei ole esimerkiksi selvää, mitä asiakirjoja perilliseltä vaaditaan tilanteessa, jossa joku muu perillisistä on hakenut </w:t>
      </w:r>
      <w:r w:rsidR="00A74B58">
        <w:t>perintötodistusta</w:t>
      </w:r>
      <w:r>
        <w:t xml:space="preserve"> tuomioistuimelta.</w:t>
      </w:r>
      <w:r w:rsidR="00BC1D04">
        <w:t xml:space="preserve"> Käytettävissä olevien lähteiden perusteella ei käy ilmi, vaikuttaako henkilön sukupuoli tai siviilisääty vaadittaviin asiakirjoihin. </w:t>
      </w:r>
      <w:r w:rsidR="00494A52">
        <w:t xml:space="preserve">On </w:t>
      </w:r>
      <w:r w:rsidR="00494A52" w:rsidRPr="00494A52">
        <w:t>huomattava</w:t>
      </w:r>
      <w:r w:rsidR="00494A52">
        <w:t>, että yleensä ottaen naisten on Irakissa miehiä vaikeampi hankkia asiakirjoja</w:t>
      </w:r>
      <w:r w:rsidR="00494A52">
        <w:rPr>
          <w:rStyle w:val="Alaviitteenviite"/>
        </w:rPr>
        <w:footnoteReference w:id="51"/>
      </w:r>
      <w:r w:rsidR="00AB553A">
        <w:t>.</w:t>
      </w:r>
    </w:p>
    <w:p w14:paraId="41694E1F" w14:textId="53C87C10" w:rsidR="00FB56A8" w:rsidRDefault="00CE5E36" w:rsidP="00CE5E36">
      <w:pPr>
        <w:pStyle w:val="LeiptekstiMigri"/>
        <w:ind w:left="0"/>
      </w:pPr>
      <w:r>
        <w:t>Nirij-verkkomedian haastatteleman irakilaisen tuomarin mukaan perinnön</w:t>
      </w:r>
      <w:r w:rsidR="001A7D0C">
        <w:t xml:space="preserve"> laillisen jaon</w:t>
      </w:r>
      <w:r>
        <w:t xml:space="preserve"> hakeminen</w:t>
      </w:r>
      <w:r w:rsidR="00636442">
        <w:t xml:space="preserve"> (</w:t>
      </w:r>
      <w:r w:rsidR="00636442" w:rsidRPr="00636442">
        <w:rPr>
          <w:i/>
          <w:iCs/>
        </w:rPr>
        <w:t>legal division of the estate</w:t>
      </w:r>
      <w:r w:rsidR="00636442">
        <w:t>)</w:t>
      </w:r>
      <w:r>
        <w:t xml:space="preserve"> </w:t>
      </w:r>
      <w:r w:rsidR="00C762AA">
        <w:t>sisältää</w:t>
      </w:r>
      <w:r>
        <w:t xml:space="preserve"> </w:t>
      </w:r>
      <w:r w:rsidR="001A7D0C">
        <w:t>hakemuksen</w:t>
      </w:r>
      <w:r>
        <w:t xml:space="preserve"> </w:t>
      </w:r>
      <w:r w:rsidR="001A7D0C">
        <w:t>jättämisen henkilöoikeudelliseen</w:t>
      </w:r>
      <w:r>
        <w:t xml:space="preserve"> asemaan liittyviä asioita käsittelevälle tuomioistuimelle. Tämä perustuu hänen mukaansa siviiliprosessilain (1969) artiklaan 310. Tuomarin mukaan kuka tahansa perillisistä voi </w:t>
      </w:r>
      <w:r w:rsidR="001A7D0C">
        <w:t>jättää hakemuksen</w:t>
      </w:r>
      <w:r>
        <w:t>, mukaan lukien naiset kuten tyttäret, vaimot tai äidit.</w:t>
      </w:r>
      <w:r>
        <w:rPr>
          <w:rStyle w:val="Alaviitteenviite"/>
        </w:rPr>
        <w:footnoteReference w:id="52"/>
      </w:r>
      <w:r w:rsidR="0032217B" w:rsidRPr="0032217B">
        <w:t xml:space="preserve"> </w:t>
      </w:r>
      <w:r w:rsidR="00FE1761" w:rsidRPr="00C963BF">
        <w:t>Irakilaisen oikeudellisista palveluista ja menettel</w:t>
      </w:r>
      <w:r w:rsidR="00FE1761">
        <w:t>ytavoista tietoa jakava</w:t>
      </w:r>
      <w:r w:rsidR="00FE1761" w:rsidRPr="00C963BF">
        <w:t xml:space="preserve"> Simaet Bhatha</w:t>
      </w:r>
      <w:r w:rsidR="00FE1761">
        <w:t xml:space="preserve"> -sivuston Irakissa </w:t>
      </w:r>
      <w:r w:rsidR="00707161">
        <w:t>voidaan hakea</w:t>
      </w:r>
      <w:r w:rsidR="00FE1761">
        <w:t xml:space="preserve"> perintötodistusta</w:t>
      </w:r>
      <w:r w:rsidR="00EB69B9">
        <w:rPr>
          <w:rStyle w:val="Alaviitteenviite"/>
        </w:rPr>
        <w:footnoteReference w:id="53"/>
      </w:r>
      <w:r w:rsidR="00707161">
        <w:t>, mikä mahdollistaa laillisten perillisten tunnistamisen ja heidän perintöosuuksiensa määrittelyn</w:t>
      </w:r>
      <w:r w:rsidR="00EB69B9">
        <w:t>.</w:t>
      </w:r>
      <w:r w:rsidR="00FE1761">
        <w:t xml:space="preserve"> Todistus mahdollistaa myös edesmenneen perinnönjättäjän eläkkeen perimisen (tietyissä tapauksissa ja mikäli edesmennyt oli valtiolla töissä) ja alaikäisen </w:t>
      </w:r>
      <w:r w:rsidR="00FE1761" w:rsidRPr="003D11F8">
        <w:t>huoltajuuden</w:t>
      </w:r>
      <w:r w:rsidR="00FE1761">
        <w:t xml:space="preserve"> todistamisen. Simaet Bhatha -sivuston mukaan perintötodistusta haetaan henkilöoikeudellisen asemaan liittyviä asioita käsittelevältä tuomioistuimelta</w:t>
      </w:r>
      <w:r w:rsidR="00FE1761" w:rsidRPr="0038199B">
        <w:t xml:space="preserve"> </w:t>
      </w:r>
      <w:r w:rsidR="00FE1761">
        <w:t>edesmenneen asuinpaikan perusteella. Sivuston mukaan todistusta voi hakea kuka tahansa perillisistä, heidän edustajansa tai heitä edustava asianajaja.</w:t>
      </w:r>
      <w:r w:rsidR="00FE1761">
        <w:rPr>
          <w:rStyle w:val="Alaviitteenviite"/>
        </w:rPr>
        <w:footnoteReference w:id="54"/>
      </w:r>
    </w:p>
    <w:p w14:paraId="3CDB02DF" w14:textId="081DEA3A" w:rsidR="00CE5E36" w:rsidRDefault="001B2CDD" w:rsidP="00CE5E36">
      <w:pPr>
        <w:pStyle w:val="LeiptekstiMigri"/>
        <w:ind w:left="0"/>
      </w:pPr>
      <w:r>
        <w:t>Siviiliprosessilain</w:t>
      </w:r>
      <w:r w:rsidR="00CE5E36">
        <w:t xml:space="preserve"> (n</w:t>
      </w:r>
      <w:r w:rsidR="00830F64">
        <w:t>ro</w:t>
      </w:r>
      <w:r w:rsidR="00CE5E36">
        <w:t xml:space="preserve"> 83/1969) </w:t>
      </w:r>
      <w:r>
        <w:t>artiklassa</w:t>
      </w:r>
      <w:r w:rsidR="00CE5E36">
        <w:t xml:space="preserve"> 310 kuvataa</w:t>
      </w:r>
      <w:r>
        <w:t>n vaiheet, joita</w:t>
      </w:r>
      <w:r w:rsidR="00A74B58">
        <w:t xml:space="preserve"> (</w:t>
      </w:r>
      <w:r w:rsidR="00E16851">
        <w:t>perintötodistuksen (</w:t>
      </w:r>
      <w:r w:rsidR="00E16851" w:rsidRPr="00E16851">
        <w:rPr>
          <w:i/>
          <w:iCs/>
        </w:rPr>
        <w:t>al-qassam al-shar</w:t>
      </w:r>
      <w:r w:rsidR="00EB69B9">
        <w:rPr>
          <w:i/>
          <w:iCs/>
        </w:rPr>
        <w:t>’</w:t>
      </w:r>
      <w:r w:rsidR="00E16851" w:rsidRPr="00E16851">
        <w:rPr>
          <w:i/>
          <w:iCs/>
        </w:rPr>
        <w:t>i</w:t>
      </w:r>
      <w:r w:rsidR="00E16851">
        <w:t xml:space="preserve">) myöntäminen </w:t>
      </w:r>
      <w:r w:rsidR="00E4341C">
        <w:t xml:space="preserve">vaatii. </w:t>
      </w:r>
      <w:r w:rsidR="00F537BF">
        <w:t>Edesmenneen</w:t>
      </w:r>
      <w:r w:rsidR="00CE5E36">
        <w:t xml:space="preserve"> kotipaikan </w:t>
      </w:r>
      <w:r w:rsidR="00490C27">
        <w:t>viranomainen</w:t>
      </w:r>
      <w:r w:rsidR="00E16851">
        <w:t xml:space="preserve"> (</w:t>
      </w:r>
      <w:r w:rsidR="00E16851" w:rsidRPr="00E16851">
        <w:rPr>
          <w:i/>
          <w:iCs/>
        </w:rPr>
        <w:t>mukhtar</w:t>
      </w:r>
      <w:r w:rsidR="00E16851">
        <w:t>)</w:t>
      </w:r>
      <w:r w:rsidR="00CE5E36">
        <w:t xml:space="preserve"> tai </w:t>
      </w:r>
      <w:r w:rsidR="00F537BF">
        <w:t>edesmenneen</w:t>
      </w:r>
      <w:r w:rsidR="004B5A05">
        <w:t xml:space="preserve"> edustaman</w:t>
      </w:r>
      <w:r w:rsidR="00F537BF">
        <w:t xml:space="preserve"> yhdistyksen tai liiton johtaja tai muu hallinnollinen työntekijä </w:t>
      </w:r>
      <w:r w:rsidR="00CE5E36">
        <w:t>laatii</w:t>
      </w:r>
      <w:r w:rsidR="00F537BF">
        <w:t xml:space="preserve"> tuomioistuimelle</w:t>
      </w:r>
      <w:r w:rsidR="00CE5E36">
        <w:t xml:space="preserve"> </w:t>
      </w:r>
      <w:r w:rsidR="00F537BF">
        <w:t>selvityksen, josta</w:t>
      </w:r>
      <w:r w:rsidR="00CE5E36">
        <w:t xml:space="preserve"> käy ilm</w:t>
      </w:r>
      <w:r w:rsidR="00F537BF">
        <w:t xml:space="preserve">i </w:t>
      </w:r>
      <w:r w:rsidR="00CE5E36">
        <w:t>kuolinaika,</w:t>
      </w:r>
      <w:r w:rsidR="00855F52">
        <w:t xml:space="preserve"> kaikkien</w:t>
      </w:r>
      <w:r w:rsidR="00CE5E36">
        <w:t xml:space="preserve"> perillisten nimet ja heidän suhteensa edesmenneeseen ja oliko edesmennyt alaikäinen</w:t>
      </w:r>
      <w:r w:rsidR="0016444E">
        <w:t xml:space="preserve"> vai aikuinen</w:t>
      </w:r>
      <w:r w:rsidR="00CE5E36">
        <w:t xml:space="preserve">. </w:t>
      </w:r>
      <w:r w:rsidR="00F537BF">
        <w:t>Selvityksessä</w:t>
      </w:r>
      <w:r w:rsidR="00CE5E36">
        <w:t xml:space="preserve"> tulee olla </w:t>
      </w:r>
      <w:r w:rsidR="006B1E0C">
        <w:t>(selvityksen laatijan) allekirjoitus</w:t>
      </w:r>
      <w:r w:rsidR="00E94FBE">
        <w:t xml:space="preserve"> ja/tai leima</w:t>
      </w:r>
      <w:r w:rsidR="006B1E0C">
        <w:t xml:space="preserve"> ja</w:t>
      </w:r>
      <w:r w:rsidR="00CE5E36">
        <w:t xml:space="preserve"> edesmenneen perheen pään allekirjoitus tai vaihtoehtoisesti kahden perheenjäsenen allekirjoitus tai jos tämä ei ole mahdollista, kahden luotettavan henkilön allekirjoitus, jotka tunsivat edesmenneen ja tämän perijät. Lisäksi asiakirjassa on oltava perinnönjakoa hakevan allekirjoitus (joka on joko joku perillisistä tai erikseen valtuutettu henkilö). Tuomari pyytää käsittelymaksujen hoitamisen jälkeen </w:t>
      </w:r>
      <w:r w:rsidR="00C35038">
        <w:t>perintötodistuksen</w:t>
      </w:r>
      <w:r w:rsidR="00CE5E36">
        <w:t xml:space="preserve"> hakijaa toimittamaan </w:t>
      </w:r>
      <w:r w:rsidR="00830F64">
        <w:t xml:space="preserve">todistuksen, josta käy ilmi </w:t>
      </w:r>
      <w:r w:rsidR="00CE5E36">
        <w:t>edesmenneen kuolema, kuolinaika,</w:t>
      </w:r>
      <w:r w:rsidR="00830F64">
        <w:t xml:space="preserve"> perintö,</w:t>
      </w:r>
      <w:r w:rsidR="00CE5E36">
        <w:t xml:space="preserve"> </w:t>
      </w:r>
      <w:r w:rsidR="00C35038">
        <w:t xml:space="preserve">mies ja naispuoliset </w:t>
      </w:r>
      <w:r w:rsidR="00CE5E36">
        <w:t xml:space="preserve">perilliset ja heidän suhteensa edesmenneeseen. </w:t>
      </w:r>
      <w:r w:rsidR="00E4341C">
        <w:t>K</w:t>
      </w:r>
      <w:r w:rsidR="00C35038">
        <w:t xml:space="preserve">uultuaan todistukset </w:t>
      </w:r>
      <w:r w:rsidR="00CE5E36">
        <w:t xml:space="preserve">ja </w:t>
      </w:r>
      <w:r w:rsidR="00314821">
        <w:t>varmistuttuaan</w:t>
      </w:r>
      <w:r w:rsidR="00CE5E36">
        <w:t xml:space="preserve"> kuolema</w:t>
      </w:r>
      <w:r w:rsidR="00314821">
        <w:t>sta</w:t>
      </w:r>
      <w:r w:rsidR="00CE5E36">
        <w:t xml:space="preserve"> ja perinnö</w:t>
      </w:r>
      <w:r w:rsidR="00314821">
        <w:t>stä</w:t>
      </w:r>
      <w:r w:rsidR="00CE5E36">
        <w:t xml:space="preserve"> tuomari </w:t>
      </w:r>
      <w:r w:rsidR="00C35038">
        <w:t>myöntää</w:t>
      </w:r>
      <w:r w:rsidR="00CE5E36">
        <w:t xml:space="preserve"> ja rekisteröi </w:t>
      </w:r>
      <w:r w:rsidR="001F43B5">
        <w:t>perintötodistuksen</w:t>
      </w:r>
      <w:r w:rsidR="00CE5E36">
        <w:t>.</w:t>
      </w:r>
      <w:r w:rsidR="00CE5E36">
        <w:rPr>
          <w:rStyle w:val="Alaviitteenviite"/>
        </w:rPr>
        <w:footnoteReference w:id="55"/>
      </w:r>
    </w:p>
    <w:p w14:paraId="33DF948D" w14:textId="16DF5EB0" w:rsidR="003D11F8" w:rsidRDefault="002623A3" w:rsidP="009E4072">
      <w:pPr>
        <w:pStyle w:val="LeiptekstiMigri"/>
        <w:ind w:left="0"/>
      </w:pPr>
      <w:r>
        <w:t>Simaet Bhatha -sivustolla perin</w:t>
      </w:r>
      <w:r w:rsidR="00D243D7">
        <w:t>tötodistuksen hankkimisen vaiheita</w:t>
      </w:r>
      <w:r w:rsidR="00346ACB">
        <w:t xml:space="preserve"> ja vaadittavia asiakirjoja</w:t>
      </w:r>
      <w:r w:rsidR="00D243D7">
        <w:t xml:space="preserve"> kuvataan</w:t>
      </w:r>
      <w:r w:rsidR="0090600E">
        <w:t xml:space="preserve"> monivaiheisesti</w:t>
      </w:r>
      <w:r w:rsidR="00D243D7">
        <w:t>.</w:t>
      </w:r>
      <w:r w:rsidR="00D454D7">
        <w:t xml:space="preserve"> </w:t>
      </w:r>
      <w:r w:rsidR="00F84EB2">
        <w:t xml:space="preserve">Vaadituiksi asiakirjoiksi mainitaan henkilöoikeudellisista asioista vastaavalle tuomioistuimelle jätetty hakemus, hakijan ja edesmenneen </w:t>
      </w:r>
      <w:r w:rsidR="00F84EB2">
        <w:lastRenderedPageBreak/>
        <w:t>henkilö</w:t>
      </w:r>
      <w:r w:rsidR="00AB5A4A">
        <w:t>llisyystodistukset</w:t>
      </w:r>
      <w:r w:rsidR="00A61199">
        <w:rPr>
          <w:rStyle w:val="Alaviitteenviite"/>
        </w:rPr>
        <w:footnoteReference w:id="56"/>
      </w:r>
      <w:r w:rsidR="00F84EB2">
        <w:t>, edesmenneen asuinpaikkakortti,</w:t>
      </w:r>
      <w:r w:rsidR="00A8043E">
        <w:t xml:space="preserve"> </w:t>
      </w:r>
      <w:r w:rsidR="002D2EFD">
        <w:t xml:space="preserve">syntymien ja kuolemien rekisteröinnistä vastaavalta viranomaiselta saatu </w:t>
      </w:r>
      <w:r w:rsidR="00F84EB2">
        <w:t xml:space="preserve">kopio </w:t>
      </w:r>
      <w:r w:rsidR="00EE20DB">
        <w:t xml:space="preserve">kuoleman rekisteröinnistä, </w:t>
      </w:r>
      <w:r w:rsidR="00A8043E">
        <w:t>siviiliasioiden virastolta pyydetyt tiedot</w:t>
      </w:r>
      <w:r w:rsidR="00A8043E">
        <w:rPr>
          <w:rStyle w:val="Alaviitteenviite"/>
        </w:rPr>
        <w:footnoteReference w:id="57"/>
      </w:r>
      <w:r w:rsidR="00A8043E">
        <w:t xml:space="preserve">, </w:t>
      </w:r>
      <w:r w:rsidR="00EE20DB">
        <w:t>kopio edesmenneen kuolintodistuksesta, kopio todistajien</w:t>
      </w:r>
      <w:r w:rsidR="008B78BF">
        <w:t xml:space="preserve"> henkilöasiakirjoista ja oikeudellisen asiantuntijan raportti</w:t>
      </w:r>
      <w:r w:rsidR="00A8043E">
        <w:t xml:space="preserve">. </w:t>
      </w:r>
      <w:r w:rsidR="008B78BF">
        <w:t xml:space="preserve">Sivustolla käytävien vaiheiden perusteella </w:t>
      </w:r>
      <w:r w:rsidR="00BD7BA5">
        <w:t>t</w:t>
      </w:r>
      <w:r w:rsidR="00734468">
        <w:t>uomioistuin</w:t>
      </w:r>
      <w:r w:rsidR="008B78BF">
        <w:t xml:space="preserve"> hak</w:t>
      </w:r>
      <w:r w:rsidR="00BD7BA5">
        <w:t>isi</w:t>
      </w:r>
      <w:r w:rsidR="008B78BF">
        <w:t xml:space="preserve"> </w:t>
      </w:r>
      <w:r w:rsidR="00546E87">
        <w:t>tiedot siviiliasioiden virastolta</w:t>
      </w:r>
      <w:r w:rsidR="008A630A">
        <w:t xml:space="preserve"> </w:t>
      </w:r>
      <w:r w:rsidR="008B78BF">
        <w:t>ja kopion kuoleman rekisteröinnistä</w:t>
      </w:r>
      <w:r w:rsidR="009E4072">
        <w:t>.</w:t>
      </w:r>
      <w:r w:rsidR="003D11F8">
        <w:rPr>
          <w:rStyle w:val="Alaviitteenviite"/>
        </w:rPr>
        <w:footnoteReference w:id="58"/>
      </w:r>
    </w:p>
    <w:p w14:paraId="5F91D6AF" w14:textId="0070F8C7" w:rsidR="002623A3" w:rsidRPr="00D243D7" w:rsidRDefault="009E4072" w:rsidP="009E4072">
      <w:pPr>
        <w:pStyle w:val="LeiptekstiMigri"/>
        <w:ind w:left="0"/>
      </w:pPr>
      <w:r>
        <w:t>Lisäksi sivuston mukaan</w:t>
      </w:r>
      <w:r w:rsidR="003D11F8">
        <w:t>,</w:t>
      </w:r>
      <w:r>
        <w:t xml:space="preserve"> mikäli</w:t>
      </w:r>
      <w:r w:rsidR="0090600E">
        <w:t xml:space="preserve"> perinnönjakoon liittyy alaikäisiä, tuomioistuin</w:t>
      </w:r>
      <w:r w:rsidR="008B6955">
        <w:t xml:space="preserve"> osoittaa hakijan alaikäisten asioista vastaavalle viranomaiselle ja</w:t>
      </w:r>
      <w:r w:rsidR="00734468">
        <w:t xml:space="preserve"> </w:t>
      </w:r>
      <w:r w:rsidR="0090600E">
        <w:t xml:space="preserve">pyytää tietoja edesmenneen omistuksista eri vastaavilta tahoilta. Tämän jälkeen </w:t>
      </w:r>
      <w:r w:rsidR="005B72D7">
        <w:t>kuvataan hakemuksen käsittelyä tuomioistuimen erikoistuneen työntekijän sekä tuomarin taholta, johon kuuluu mm. kahden todistajan kuuleminen (muita kuin perillisiä) ja käsittelymaksujen maksaminen (hakija maksaa). Tuomioistuin myöntää prosessin lopuksi perintötodistuksen.</w:t>
      </w:r>
      <w:r w:rsidR="00A35F42">
        <w:rPr>
          <w:rStyle w:val="Alaviitteenviite"/>
        </w:rPr>
        <w:footnoteReference w:id="59"/>
      </w:r>
    </w:p>
    <w:p w14:paraId="0FD0CB74" w14:textId="0D0D6F96" w:rsidR="00CE5E36" w:rsidRDefault="00CE5E36" w:rsidP="00CE5E36">
      <w:pPr>
        <w:pStyle w:val="Otsikko1"/>
      </w:pPr>
      <w:r w:rsidRPr="00CE5E36">
        <w:t xml:space="preserve">Miten </w:t>
      </w:r>
      <w:r w:rsidR="00124125">
        <w:t>perintöä voi hakea ulkomailta</w:t>
      </w:r>
      <w:r>
        <w:t xml:space="preserve"> käsin</w:t>
      </w:r>
      <w:r w:rsidRPr="00CE5E36">
        <w:t>?</w:t>
      </w:r>
    </w:p>
    <w:p w14:paraId="5C47CE66" w14:textId="258E3088" w:rsidR="00CE5E36" w:rsidRDefault="00CE5E36" w:rsidP="00CE5E36">
      <w:pPr>
        <w:pStyle w:val="LeiptekstiMigri"/>
        <w:ind w:left="0"/>
      </w:pPr>
      <w:r>
        <w:t>Julkisten lähteiden perusteella perintöasioita voi hoitaa ulkomailta käsin, mutta lähteiden perusteella ei saa käsitystä siitä, mitä perintöasioiden hoitaminen ulkomailta käsin esimerkiksi vähimmillään vaatii. Saatavilla olevien lähteiden perusteella ei myöskään ole selvää, vaikuttaako perinnönsaajan sukupuoli tai siviilisääty perinnön</w:t>
      </w:r>
      <w:r w:rsidR="009E7E28">
        <w:t xml:space="preserve"> </w:t>
      </w:r>
      <w:r>
        <w:t>hakemiseen ulkomailta käsin.</w:t>
      </w:r>
    </w:p>
    <w:p w14:paraId="49C610B8" w14:textId="0B241EE8" w:rsidR="00CE5E36" w:rsidRDefault="00CE5E36" w:rsidP="00CE5E36">
      <w:pPr>
        <w:pStyle w:val="LeiptekstiMigri"/>
        <w:ind w:left="0"/>
      </w:pPr>
      <w:r>
        <w:t xml:space="preserve">Irakin ulkoministeriön sivuilla tiedotetaan mahdollisuudesta hoitaa asioita Irakissa valtuuttamalla valtakirjalla Irakissa oleskeleva henkilö toimimaan ulkomailla oleskelevan henkilön puolesta. Valtakirjan (engl. </w:t>
      </w:r>
      <w:r w:rsidRPr="00C65F78">
        <w:rPr>
          <w:i/>
          <w:iCs/>
        </w:rPr>
        <w:t>power of attorney</w:t>
      </w:r>
      <w:r>
        <w:t xml:space="preserve">) voi tehdä joko koskemaan rajattua asiaa (arab. </w:t>
      </w:r>
      <w:r>
        <w:rPr>
          <w:i/>
          <w:iCs/>
        </w:rPr>
        <w:t>wakaala khassa</w:t>
      </w:r>
      <w:r>
        <w:t xml:space="preserve">) tai se voi olla laajemmat oikeudet antava yleisvaltakirja (arab. </w:t>
      </w:r>
      <w:r>
        <w:rPr>
          <w:i/>
          <w:iCs/>
        </w:rPr>
        <w:t xml:space="preserve">wakaala </w:t>
      </w:r>
      <w:r w:rsidR="00FE40F8" w:rsidRPr="00FE40F8">
        <w:rPr>
          <w:rFonts w:ascii="Arial" w:hAnsi="Arial" w:cs="Arial"/>
          <w:i/>
          <w:iCs/>
        </w:rPr>
        <w:t>ʿ</w:t>
      </w:r>
      <w:r>
        <w:rPr>
          <w:i/>
          <w:iCs/>
        </w:rPr>
        <w:t>aamma</w:t>
      </w:r>
      <w:r>
        <w:t>).</w:t>
      </w:r>
      <w:r>
        <w:rPr>
          <w:rStyle w:val="Alaviitteenviite"/>
        </w:rPr>
        <w:footnoteReference w:id="60"/>
      </w:r>
    </w:p>
    <w:p w14:paraId="4E7C51BD" w14:textId="3FC88444" w:rsidR="00CE5E36" w:rsidRDefault="00CE5E36" w:rsidP="00CE5E36">
      <w:pPr>
        <w:pStyle w:val="LeiptekstiMigri"/>
        <w:ind w:left="0"/>
      </w:pPr>
      <w:r>
        <w:t>Esimerkiksi Irakin Washingtonin-suurlähetystön verkkosivujen mukaan (kumpaakin) valtakirjaa varten valtuuttajan on käytävä tunnistautumassa suurlähetystöllä</w:t>
      </w:r>
      <w:r w:rsidRPr="00657D52">
        <w:t xml:space="preserve"> </w:t>
      </w:r>
      <w:r>
        <w:t xml:space="preserve">henkilökohtaisesti eikä esimerkiksi postin kautta tehtävä valtuutus ole pätevä. Valtakirjaa varten vaaditaan lisäksi seuraavat asiakirjat: alkuperäinen henkilöllisyystodistus ja kaksi värikopiota (joko uudenmallinen kansallinen henkilökortti TAI vanhan mallinen henkilökortti + kansalaisuustodistus), viisi (5) valtakirjan myöntäjän valokuvaa ja viisi (5) värivalokuvaa valtuutettavasta. Lisäksi mainitaan asiakirjoista, joita vaaditaan omaisuuden hoitamiseen. Esimerkiksi kiinteistömyyntiä varten vaaditaan perintötodistus (arab. </w:t>
      </w:r>
      <w:r w:rsidRPr="00AA18DC">
        <w:rPr>
          <w:i/>
          <w:iCs/>
        </w:rPr>
        <w:t>al-qassam al-shari</w:t>
      </w:r>
      <w:r>
        <w:t>) ja omistuskirja (engl. t</w:t>
      </w:r>
      <w:r w:rsidRPr="00AA18DC">
        <w:rPr>
          <w:i/>
          <w:iCs/>
        </w:rPr>
        <w:t>itle deed</w:t>
      </w:r>
      <w:r>
        <w:t xml:space="preserve">). </w:t>
      </w:r>
      <w:r w:rsidRPr="000F653C">
        <w:t>Rajatun valtakirjan käsittelymaksu on 10 dollaria, laajan 30 dollaria.</w:t>
      </w:r>
      <w:r>
        <w:rPr>
          <w:rStyle w:val="Alaviitteenviite"/>
        </w:rPr>
        <w:footnoteReference w:id="61"/>
      </w:r>
      <w:r w:rsidRPr="000F653C">
        <w:t xml:space="preserve"> </w:t>
      </w:r>
    </w:p>
    <w:p w14:paraId="04C216AA" w14:textId="6019041E" w:rsidR="006C5B80" w:rsidRPr="00AB5A4A" w:rsidRDefault="00AB5A4A" w:rsidP="00CE5E36">
      <w:pPr>
        <w:pStyle w:val="LeiptekstiMigri"/>
        <w:ind w:left="0"/>
      </w:pPr>
      <w:r>
        <w:t>Irakilaisten kristittyjen ja muiden vähemmistöjen paluita edistävän voittoa tavoittelemattoman järjestön The Returnin huhtikuussa 2026 julkaisemassa artikkelissa käsitellään Irakin henkilöasiakirjoihin liittyviä säädöksiä. Artikkelissa viitataan Irakin sisäministeriön määräykseen (julkaistu 15.1.2024), jonka mukaan kahta vanhemman mallista henkilöllisyysasiakirjaa (kansalaisuustodistus/Iraqi Nationality Certificate sekä henkilöllisyystodistus/Civil Status ID) ei enää myönnetty Irakissa ja että ne korvataan uudella ”yhdistetyllä” kansallisella henkilökortilla (Unified National Card)</w:t>
      </w:r>
      <w:r w:rsidR="0032217B">
        <w:t xml:space="preserve">. Tähän muutokseen liittyen kansalaisuusasioiden virasto oli ilmoittanut 17.9.2025 kirjeessä, että yli 10 vuotta vanhoihin henkilöllisyysasiakirjoihin perustuvat yleisvaltakirjat eivät olleet enää voimassa ja että </w:t>
      </w:r>
      <w:r w:rsidR="007E29C4">
        <w:t>valtakirjat, jotka perustuivat vuoden 2003 jälkeen myönnettyihin (vanhan mallisiin) kansalaisuus- ja henkilöllisyystodistuksiin ei voinut enää käyttää Irakissa. Lähteen mukaan</w:t>
      </w:r>
      <w:r w:rsidR="00E37139">
        <w:t xml:space="preserve"> muutos aiheuttaa haasteita Irakin ulkopuolella oleskeleville </w:t>
      </w:r>
      <w:r w:rsidR="00E37139">
        <w:lastRenderedPageBreak/>
        <w:t>irakilaisille erityisesti tilanteessa, jossa he käyttävät valtuutettuja edustajia asioidensa hoitoon Irakissa. Ongelma juontuu siitä, että uudenmaallisen kansallisen henkilökortin hankkimiseen liittyy vaikeuksia ulkomailla. Lähteen mukaan tilanne on johtanut hankaluuksiin valtakirjojen hankkimisessa ja käyttämisessä sekä viiveitä kiinteistöihin liittyvissä sopimuksissa, perintö</w:t>
      </w:r>
      <w:r w:rsidR="00610102">
        <w:t xml:space="preserve">asioissa </w:t>
      </w:r>
      <w:r w:rsidR="00E37139">
        <w:t>ja oikeustoimissa.</w:t>
      </w:r>
      <w:r w:rsidR="00E37139">
        <w:rPr>
          <w:rStyle w:val="Alaviitteenviite"/>
        </w:rPr>
        <w:footnoteReference w:id="62"/>
      </w:r>
    </w:p>
    <w:bookmarkEnd w:id="0"/>
    <w:p w14:paraId="623BFC33" w14:textId="77777777" w:rsidR="00082DFE" w:rsidRPr="00BE0F90" w:rsidRDefault="00082DFE" w:rsidP="00543F66">
      <w:pPr>
        <w:pStyle w:val="Otsikko2"/>
        <w:numPr>
          <w:ilvl w:val="0"/>
          <w:numId w:val="0"/>
        </w:numPr>
        <w:rPr>
          <w:lang w:val="en-US"/>
        </w:rPr>
      </w:pPr>
      <w:r w:rsidRPr="00BE0F90">
        <w:rPr>
          <w:lang w:val="en-US"/>
        </w:rPr>
        <w:t>Lähteet</w:t>
      </w:r>
    </w:p>
    <w:p w14:paraId="20B06095" w14:textId="0B45EB7D" w:rsidR="00CD41D7" w:rsidRPr="00BE0F90" w:rsidRDefault="00CD41D7" w:rsidP="00CC5973">
      <w:pPr>
        <w:pStyle w:val="LeiptekstiMigri"/>
        <w:ind w:left="0"/>
        <w:rPr>
          <w:lang w:val="en-US"/>
        </w:rPr>
      </w:pPr>
      <w:r w:rsidRPr="00BE0F90">
        <w:rPr>
          <w:lang w:val="en-US"/>
        </w:rPr>
        <w:t xml:space="preserve">Alkhafagy et al. 2023. </w:t>
      </w:r>
      <w:r w:rsidRPr="00CD41D7">
        <w:rPr>
          <w:lang w:val="en-US"/>
        </w:rPr>
        <w:t>Cybercrime and Inheritance Legislat</w:t>
      </w:r>
      <w:r>
        <w:rPr>
          <w:lang w:val="en-US"/>
        </w:rPr>
        <w:t xml:space="preserve">ion in Iraq: Extension of Perspectives on Inheritance Legislation within Iraq. International Journal of Cyber Criminology. </w:t>
      </w:r>
      <w:r w:rsidRPr="00CD41D7">
        <w:rPr>
          <w:lang w:val="en-US"/>
        </w:rPr>
        <w:t>Vol. 17(2): 63–76.</w:t>
      </w:r>
      <w:r>
        <w:rPr>
          <w:lang w:val="en-US"/>
        </w:rPr>
        <w:t xml:space="preserve"> </w:t>
      </w:r>
      <w:hyperlink r:id="rId8" w:history="1">
        <w:r w:rsidRPr="00BE0F90">
          <w:rPr>
            <w:rStyle w:val="Hyperlinkki"/>
            <w:lang w:val="en-US"/>
          </w:rPr>
          <w:t>https://cybercrimejournal.com/menuscript/index.php/cybercrimejournal/article/view/188</w:t>
        </w:r>
      </w:hyperlink>
      <w:r w:rsidRPr="00BE0F90">
        <w:rPr>
          <w:lang w:val="en-US"/>
        </w:rPr>
        <w:t xml:space="preserve"> </w:t>
      </w:r>
      <w:r w:rsidR="004C00D9" w:rsidRPr="00BE0F90">
        <w:rPr>
          <w:lang w:val="en-US"/>
        </w:rPr>
        <w:t>(käyty 10.7.2026).</w:t>
      </w:r>
    </w:p>
    <w:p w14:paraId="5194C6C8" w14:textId="0CB1EBD1" w:rsidR="00CC5973" w:rsidRPr="003B32FC" w:rsidRDefault="00CC5973" w:rsidP="00CC5973">
      <w:pPr>
        <w:pStyle w:val="LeiptekstiMigri"/>
        <w:ind w:left="0"/>
        <w:rPr>
          <w:lang w:val="en-US"/>
        </w:rPr>
      </w:pPr>
      <w:r w:rsidRPr="00CD41D7">
        <w:rPr>
          <w:lang w:val="en-US"/>
        </w:rPr>
        <w:t xml:space="preserve">Alnaisani, Wasan &amp; Romera, Magdalena 2025. </w:t>
      </w:r>
      <w:r w:rsidRPr="003B32FC">
        <w:rPr>
          <w:lang w:val="en-US"/>
        </w:rPr>
        <w:t>Iraqi Women’s Rights in B</w:t>
      </w:r>
      <w:r>
        <w:rPr>
          <w:lang w:val="en-US"/>
        </w:rPr>
        <w:t xml:space="preserve">alance of Islamic Sharia: “Sociological Comparison between Iraqi Women’s Rights in Rural and in Urban Regions. International Journal of Humanities and Social Sciences. </w:t>
      </w:r>
      <w:hyperlink r:id="rId9" w:history="1">
        <w:r w:rsidRPr="00DB4DA7">
          <w:rPr>
            <w:rStyle w:val="Hyperlinkki"/>
            <w:lang w:val="en-US"/>
          </w:rPr>
          <w:t>http://dx.doi.org/10.47832/2717-8293.34.20</w:t>
        </w:r>
      </w:hyperlink>
      <w:r>
        <w:rPr>
          <w:lang w:val="en-US"/>
        </w:rPr>
        <w:t xml:space="preserve"> </w:t>
      </w:r>
    </w:p>
    <w:p w14:paraId="539AC105" w14:textId="55B82E33" w:rsidR="00CC5973" w:rsidRDefault="00CC5973" w:rsidP="00CC5973">
      <w:pPr>
        <w:pStyle w:val="LeiptekstiMigri"/>
        <w:ind w:left="0"/>
      </w:pPr>
      <w:r w:rsidRPr="00C30DE0">
        <w:t xml:space="preserve">Irakin oikeusministeriön julkaisu 4843, päätös 10/2025. </w:t>
      </w:r>
      <w:r w:rsidRPr="007D4F67">
        <w:t>Ja</w:t>
      </w:r>
      <w:r w:rsidR="007D4F67" w:rsidRPr="007D4F67">
        <w:t>’</w:t>
      </w:r>
      <w:r w:rsidRPr="007D4F67">
        <w:t>fari</w:t>
      </w:r>
      <w:r>
        <w:t xml:space="preserve">-koulukunnan mukainen säännöskokoelma henkilöoikeudellisesta asemasta. Liite lakiin 1/2025, joka muuttaa lakia nro 188 henkilöoikeudellisesta asemasta. Saatavilla: </w:t>
      </w:r>
      <w:hyperlink r:id="rId10" w:history="1">
        <w:r w:rsidRPr="000A23CD">
          <w:rPr>
            <w:rStyle w:val="Hyperlinkki"/>
          </w:rPr>
          <w:t>https://natlex.ilo.org/dyn/natlex2/natlex2/files/download/118969/4843.pdf</w:t>
        </w:r>
      </w:hyperlink>
      <w:r>
        <w:t xml:space="preserve"> (käyty 1.7.2026).</w:t>
      </w:r>
    </w:p>
    <w:p w14:paraId="72EBB8E7" w14:textId="77777777" w:rsidR="00CC5973" w:rsidRDefault="00CC5973" w:rsidP="00CC5973">
      <w:pPr>
        <w:pStyle w:val="LeiptekstiMigri"/>
        <w:ind w:left="0"/>
        <w:rPr>
          <w:lang w:val="en-US"/>
        </w:rPr>
      </w:pPr>
      <w:r w:rsidRPr="00FF0C38">
        <w:rPr>
          <w:lang w:val="en-US"/>
        </w:rPr>
        <w:t>The Arab Weekly 16.10.2025, N</w:t>
      </w:r>
      <w:r>
        <w:rPr>
          <w:lang w:val="en-US"/>
        </w:rPr>
        <w:t xml:space="preserve">ew Iraqi personal status code criticized as making women ‘second class citizens’, </w:t>
      </w:r>
      <w:hyperlink r:id="rId11" w:history="1">
        <w:r w:rsidRPr="00921B62">
          <w:rPr>
            <w:rStyle w:val="Hyperlinkki"/>
            <w:lang w:val="en-US"/>
          </w:rPr>
          <w:t>https://thearabweekly.com/new-iraqi-personal-status-code-criticised-making-women-second-class-citizens</w:t>
        </w:r>
      </w:hyperlink>
      <w:r>
        <w:rPr>
          <w:lang w:val="en-US"/>
        </w:rPr>
        <w:t xml:space="preserve"> (käyty 26.6.2026).</w:t>
      </w:r>
    </w:p>
    <w:p w14:paraId="12596781" w14:textId="77777777" w:rsidR="00CC5973" w:rsidRDefault="00CC5973" w:rsidP="00CC5973">
      <w:pPr>
        <w:pStyle w:val="LeiptekstiMigri"/>
        <w:ind w:left="0"/>
        <w:rPr>
          <w:lang w:val="en-US"/>
        </w:rPr>
      </w:pPr>
      <w:r w:rsidRPr="00EC7F81">
        <w:rPr>
          <w:lang w:val="en-US"/>
        </w:rPr>
        <w:t>Carnegie Endowment for International Peace /</w:t>
      </w:r>
      <w:r>
        <w:rPr>
          <w:lang w:val="en-US"/>
        </w:rPr>
        <w:t xml:space="preserve"> Allam, Nermin &amp; Al Qaraghuli, Baneen 5.11.2025, The Politics of Personal Status Law in Egypt and Iraq, </w:t>
      </w:r>
      <w:hyperlink r:id="rId12" w:history="1">
        <w:r w:rsidRPr="003C76EB">
          <w:rPr>
            <w:rStyle w:val="Hyperlinkki"/>
            <w:lang w:val="en-US"/>
          </w:rPr>
          <w:t>https://carnegieendowment.org/research/2025/11/the-politics-of-personal-status-law-in-egypt-and-iraq</w:t>
        </w:r>
      </w:hyperlink>
      <w:r>
        <w:rPr>
          <w:lang w:val="en-US"/>
        </w:rPr>
        <w:t xml:space="preserve"> (käyty 26.6.2026). </w:t>
      </w:r>
    </w:p>
    <w:p w14:paraId="0AE472F8" w14:textId="77777777" w:rsidR="00CC5973" w:rsidRDefault="00CC5973" w:rsidP="00CC5973">
      <w:pPr>
        <w:pStyle w:val="LeiptekstiMigri"/>
        <w:ind w:left="0"/>
        <w:rPr>
          <w:lang w:val="en-US"/>
        </w:rPr>
      </w:pPr>
      <w:r>
        <w:rPr>
          <w:lang w:val="en-US"/>
        </w:rPr>
        <w:t xml:space="preserve">Al-Dabbagh, Harith 2026. The Vicissitudes of Personal Status Pluralism in Iraq, A New Tower of Babel? Teoksessa: </w:t>
      </w:r>
      <w:r w:rsidRPr="008563CA">
        <w:rPr>
          <w:lang w:val="en-US"/>
        </w:rPr>
        <w:t>Equality, Plurality and Personal Status Laws: A Research Companion (1st ed.). Routledge.</w:t>
      </w:r>
      <w:r>
        <w:rPr>
          <w:lang w:val="en-US"/>
        </w:rPr>
        <w:t xml:space="preserve"> </w:t>
      </w:r>
      <w:hyperlink r:id="rId13" w:history="1">
        <w:r w:rsidRPr="00F1475C">
          <w:rPr>
            <w:rStyle w:val="Hyperlinkki"/>
            <w:lang w:val="en-US"/>
          </w:rPr>
          <w:t>https://doi.org/10.4324/9781003364412</w:t>
        </w:r>
      </w:hyperlink>
      <w:r w:rsidRPr="00F1475C">
        <w:rPr>
          <w:lang w:val="en-US"/>
        </w:rPr>
        <w:t xml:space="preserve"> </w:t>
      </w:r>
    </w:p>
    <w:p w14:paraId="27A2ED63" w14:textId="77777777" w:rsidR="00D130BC" w:rsidRPr="00FF0C38" w:rsidRDefault="00D130BC" w:rsidP="00D130BC">
      <w:pPr>
        <w:pStyle w:val="LeiptekstiMigri"/>
        <w:ind w:left="0"/>
        <w:rPr>
          <w:lang w:val="en-US"/>
        </w:rPr>
      </w:pPr>
      <w:r>
        <w:rPr>
          <w:lang w:val="en-US"/>
        </w:rPr>
        <w:t xml:space="preserve">Elias, Benin / Nirij 10.11.2024, </w:t>
      </w:r>
      <w:r w:rsidRPr="00597D1D">
        <w:rPr>
          <w:lang w:val="en-US"/>
        </w:rPr>
        <w:t xml:space="preserve">A Long </w:t>
      </w:r>
      <w:r>
        <w:rPr>
          <w:lang w:val="en-US"/>
        </w:rPr>
        <w:t xml:space="preserve">History of Deprivation: Iraqi Women Denied Their Inheritance Rights Voluntarily or Otherwise, </w:t>
      </w:r>
      <w:hyperlink r:id="rId14" w:history="1">
        <w:r w:rsidRPr="00345E94">
          <w:rPr>
            <w:rStyle w:val="Hyperlinkki"/>
            <w:lang w:val="en-US"/>
          </w:rPr>
          <w:t>https://nirij.org/en/2024/11/10/a-long-history-of-deprivation-iraqi-women-denied-their-inheritance-rights-voluntarily-or-otherwise/</w:t>
        </w:r>
      </w:hyperlink>
      <w:r>
        <w:rPr>
          <w:lang w:val="en-US"/>
        </w:rPr>
        <w:t xml:space="preserve"> (käyty 1.7.2026).</w:t>
      </w:r>
    </w:p>
    <w:p w14:paraId="7DCE65AE" w14:textId="3BD1A911" w:rsidR="002965B5" w:rsidRDefault="002965B5" w:rsidP="00CC5973">
      <w:pPr>
        <w:pStyle w:val="LeiptekstiMigri"/>
        <w:ind w:left="0"/>
        <w:rPr>
          <w:lang w:val="en-US"/>
        </w:rPr>
      </w:pPr>
      <w:r>
        <w:rPr>
          <w:lang w:val="en-US"/>
        </w:rPr>
        <w:t xml:space="preserve">Equality Now 6.2.2026. Iraq’s family laws are being rewritten, women and girls are paying the price, </w:t>
      </w:r>
      <w:hyperlink r:id="rId15" w:history="1">
        <w:r w:rsidRPr="001E37D0">
          <w:rPr>
            <w:rStyle w:val="Hyperlinkki"/>
            <w:lang w:val="en-US"/>
          </w:rPr>
          <w:t>https://equalitynow.org/news/news-and-insights/iraqs-family-laws-are-being-rewritten-women-and-girls-are-paying-the-price/</w:t>
        </w:r>
      </w:hyperlink>
      <w:r>
        <w:rPr>
          <w:lang w:val="en-US"/>
        </w:rPr>
        <w:t xml:space="preserve"> (käyty 9.7.2026).</w:t>
      </w:r>
    </w:p>
    <w:p w14:paraId="791B42EC" w14:textId="77777777" w:rsidR="00CC5973" w:rsidRPr="008563CA" w:rsidRDefault="00CC5973" w:rsidP="00CC5973">
      <w:pPr>
        <w:pStyle w:val="LeiptekstiMigri"/>
        <w:ind w:left="0"/>
        <w:rPr>
          <w:lang w:val="en-US"/>
        </w:rPr>
      </w:pPr>
      <w:r>
        <w:rPr>
          <w:lang w:val="en-US"/>
        </w:rPr>
        <w:t xml:space="preserve">Al-Ghanim Lawfirm 25.4.2026. Inheritance shares, </w:t>
      </w:r>
      <w:hyperlink r:id="rId16" w:history="1">
        <w:r w:rsidRPr="00DB4DA7">
          <w:rPr>
            <w:rStyle w:val="Hyperlinkki"/>
            <w:lang w:val="en-US"/>
          </w:rPr>
          <w:t>https://alghanim-lawfirm.com/en/2026/04/25/inheritance-shares/</w:t>
        </w:r>
      </w:hyperlink>
      <w:r>
        <w:rPr>
          <w:lang w:val="en-US"/>
        </w:rPr>
        <w:t xml:space="preserve"> (käyty 7.7.2026).</w:t>
      </w:r>
    </w:p>
    <w:p w14:paraId="25E345BB" w14:textId="77777777" w:rsidR="00CC5973" w:rsidRDefault="00CC5973" w:rsidP="00CC5973">
      <w:pPr>
        <w:pStyle w:val="LeiptekstiMigri"/>
        <w:ind w:left="0"/>
        <w:rPr>
          <w:lang w:val="en-US"/>
        </w:rPr>
      </w:pPr>
      <w:r w:rsidRPr="00CB4FF7">
        <w:rPr>
          <w:lang w:val="en-US"/>
        </w:rPr>
        <w:t>Heinrich Böll Stiftung / Edwar, Hanaa’ &amp; Al-Moussawi Salem 3.3.201</w:t>
      </w:r>
      <w:r>
        <w:rPr>
          <w:lang w:val="en-US"/>
        </w:rPr>
        <w:t xml:space="preserve">4, Iraqi Women and the National Personal Status Law – Statehood &amp; Participation, </w:t>
      </w:r>
      <w:hyperlink r:id="rId17" w:history="1">
        <w:r w:rsidRPr="00921B62">
          <w:rPr>
            <w:rStyle w:val="Hyperlinkki"/>
            <w:lang w:val="en-US"/>
          </w:rPr>
          <w:t>https://lb.boell.org/en/2014/03/03/iraqi-women-and-national-personal-status-law-statehood-participation</w:t>
        </w:r>
      </w:hyperlink>
      <w:r>
        <w:rPr>
          <w:lang w:val="en-US"/>
        </w:rPr>
        <w:t xml:space="preserve"> (käyty 26.6.2026).</w:t>
      </w:r>
    </w:p>
    <w:p w14:paraId="1AF6E34A" w14:textId="77777777" w:rsidR="00CC5973" w:rsidRDefault="00CC5973" w:rsidP="00CC5973">
      <w:pPr>
        <w:pStyle w:val="LeiptekstiMigri"/>
        <w:ind w:left="0"/>
        <w:rPr>
          <w:lang w:val="en-US"/>
        </w:rPr>
      </w:pPr>
      <w:r>
        <w:rPr>
          <w:lang w:val="en-US"/>
        </w:rPr>
        <w:t xml:space="preserve">Human Rights Watch </w:t>
      </w:r>
    </w:p>
    <w:p w14:paraId="0C7A44E2" w14:textId="77777777" w:rsidR="00CC5973" w:rsidRDefault="00CC5973" w:rsidP="00CC5973">
      <w:pPr>
        <w:pStyle w:val="LeiptekstiMigri"/>
        <w:ind w:left="720"/>
        <w:rPr>
          <w:lang w:val="en-US"/>
        </w:rPr>
      </w:pPr>
      <w:r>
        <w:rPr>
          <w:lang w:val="en-US"/>
        </w:rPr>
        <w:lastRenderedPageBreak/>
        <w:t xml:space="preserve">15.10.2025, Iraq: New Personal Status Code Makes Women Second Class, </w:t>
      </w:r>
      <w:hyperlink r:id="rId18" w:history="1">
        <w:r w:rsidRPr="00921B62">
          <w:rPr>
            <w:rStyle w:val="Hyperlinkki"/>
            <w:lang w:val="en-US"/>
          </w:rPr>
          <w:t>https://www.hrw.org/news/2025/10/15/iraq-new-personal-status-code-makes-women-second-class</w:t>
        </w:r>
      </w:hyperlink>
      <w:r>
        <w:rPr>
          <w:lang w:val="en-US"/>
        </w:rPr>
        <w:t xml:space="preserve"> (käyty 26.6.2026).</w:t>
      </w:r>
    </w:p>
    <w:p w14:paraId="49B15204" w14:textId="77777777" w:rsidR="00CC5973" w:rsidRPr="006B3611" w:rsidRDefault="00CC5973" w:rsidP="00CC5973">
      <w:pPr>
        <w:pStyle w:val="LeiptekstiMigri"/>
        <w:ind w:left="720"/>
        <w:rPr>
          <w:lang w:val="en-US"/>
        </w:rPr>
      </w:pPr>
      <w:r>
        <w:rPr>
          <w:lang w:val="en-US"/>
        </w:rPr>
        <w:t xml:space="preserve">10.3.2025, Iraq: Personal Status Law Amendment Sets Back Women’s Rights, </w:t>
      </w:r>
      <w:hyperlink r:id="rId19" w:history="1">
        <w:r w:rsidRPr="00921B62">
          <w:rPr>
            <w:rStyle w:val="Hyperlinkki"/>
            <w:lang w:val="en-US"/>
          </w:rPr>
          <w:t>https://www.hrw.org/news/2025/03/10/iraq-personal-status-law-amendment-sets-back-womens-rights</w:t>
        </w:r>
      </w:hyperlink>
      <w:r>
        <w:rPr>
          <w:lang w:val="en-US"/>
        </w:rPr>
        <w:t xml:space="preserve"> (käyty 26.6.2026).</w:t>
      </w:r>
    </w:p>
    <w:p w14:paraId="32A43AF8" w14:textId="77777777" w:rsidR="00CC5973" w:rsidRPr="007A64E9" w:rsidRDefault="00CC5973" w:rsidP="00CC5973">
      <w:pPr>
        <w:pStyle w:val="LeiptekstiMigri"/>
        <w:ind w:left="0"/>
        <w:rPr>
          <w:lang w:val="en-US"/>
        </w:rPr>
      </w:pPr>
      <w:r w:rsidRPr="007A64E9">
        <w:rPr>
          <w:lang w:val="en-US"/>
        </w:rPr>
        <w:t>IILHR (Institute for International Law</w:t>
      </w:r>
      <w:r>
        <w:rPr>
          <w:lang w:val="en-US"/>
        </w:rPr>
        <w:t xml:space="preserve"> and Human Rights) 2024. Reclaiming Identity, Strategies for Civil Documentation in Iraq, </w:t>
      </w:r>
      <w:hyperlink r:id="rId20" w:history="1">
        <w:r w:rsidRPr="006C2F63">
          <w:rPr>
            <w:rStyle w:val="Hyperlinkki"/>
            <w:lang w:val="en-US"/>
          </w:rPr>
          <w:t>https://iilhr.org/wp-content/uploads/2024/05/IILHR-Report_Reclaiming-Identity-Strategies-for-Civil-Doc-in-Iraq-v2_EN.pdf</w:t>
        </w:r>
      </w:hyperlink>
      <w:r>
        <w:rPr>
          <w:lang w:val="en-US"/>
        </w:rPr>
        <w:t xml:space="preserve"> (käyty 6.7.2026).</w:t>
      </w:r>
    </w:p>
    <w:p w14:paraId="61771BED" w14:textId="77777777" w:rsidR="00CC5973" w:rsidRPr="007A64E9" w:rsidRDefault="00CC5973" w:rsidP="00CC5973">
      <w:pPr>
        <w:pStyle w:val="LeiptekstiMigri"/>
        <w:ind w:left="0"/>
      </w:pPr>
      <w:r w:rsidRPr="007A64E9">
        <w:t xml:space="preserve">International Idea [päiväämätön], Iraq – February 2025, </w:t>
      </w:r>
      <w:hyperlink r:id="rId21" w:history="1">
        <w:r w:rsidRPr="007A64E9">
          <w:rPr>
            <w:rStyle w:val="Hyperlinkki"/>
          </w:rPr>
          <w:t>https://www.idea.int/democracytracker/report/iraq/february-2025</w:t>
        </w:r>
      </w:hyperlink>
      <w:r w:rsidRPr="007A64E9">
        <w:t xml:space="preserve"> (käyty 26.6.2026).</w:t>
      </w:r>
    </w:p>
    <w:p w14:paraId="31773927" w14:textId="77777777" w:rsidR="00CC5973" w:rsidRDefault="00CC5973" w:rsidP="00CC5973">
      <w:pPr>
        <w:pStyle w:val="LeiptekstiMigri"/>
        <w:ind w:left="0"/>
      </w:pPr>
      <w:r w:rsidRPr="0020320E">
        <w:t>Irakin</w:t>
      </w:r>
      <w:r>
        <w:t xml:space="preserve"> tasavalta</w:t>
      </w:r>
    </w:p>
    <w:p w14:paraId="660ABC0D" w14:textId="70E2F999" w:rsidR="00A072F1" w:rsidRDefault="00A072F1" w:rsidP="00CC5973">
      <w:pPr>
        <w:pStyle w:val="LeiptekstiMigri"/>
        <w:ind w:left="720"/>
      </w:pPr>
      <w:r>
        <w:t xml:space="preserve">2025. Laki nro 1/2025, joka muuttaa henkilöoikeudellisesta asemasta säätävää lakia (188/1959). Saatavilla: </w:t>
      </w:r>
      <w:hyperlink r:id="rId22" w:history="1">
        <w:r w:rsidRPr="0051607F">
          <w:rPr>
            <w:rStyle w:val="Hyperlinkki"/>
          </w:rPr>
          <w:t>https://iraqld.e-sjc-services.iq/legislations/showlegislation?lawbookid=52620</w:t>
        </w:r>
      </w:hyperlink>
      <w:r>
        <w:t>.</w:t>
      </w:r>
    </w:p>
    <w:p w14:paraId="45D84FC7" w14:textId="608EEC43" w:rsidR="00CC5973" w:rsidRDefault="00CC5973" w:rsidP="00CC5973">
      <w:pPr>
        <w:pStyle w:val="LeiptekstiMigri"/>
        <w:ind w:left="720"/>
      </w:pPr>
      <w:r>
        <w:t>2005. P</w:t>
      </w:r>
      <w:r w:rsidRPr="0020320E">
        <w:t xml:space="preserve">erustuslaki. </w:t>
      </w:r>
      <w:r>
        <w:t xml:space="preserve">Saatavilla: Constitute Project, </w:t>
      </w:r>
      <w:hyperlink r:id="rId23" w:history="1">
        <w:r w:rsidRPr="003C76EB">
          <w:rPr>
            <w:rStyle w:val="Hyperlinkki"/>
          </w:rPr>
          <w:t>https://www.constituteproject.org/constitution/Iraq_2005?lang=ar</w:t>
        </w:r>
      </w:hyperlink>
      <w:r>
        <w:t xml:space="preserve"> (arabiankielinen), </w:t>
      </w:r>
      <w:hyperlink r:id="rId24" w:history="1">
        <w:r w:rsidRPr="00921B62">
          <w:rPr>
            <w:rStyle w:val="Hyperlinkki"/>
          </w:rPr>
          <w:t>https://www.constituteproject.org/constitution/Iraq_2005</w:t>
        </w:r>
      </w:hyperlink>
      <w:r>
        <w:t xml:space="preserve"> (engl. kielinen käännös).</w:t>
      </w:r>
    </w:p>
    <w:p w14:paraId="1679717E" w14:textId="5F3333EA" w:rsidR="00CC5973" w:rsidRPr="00091C49" w:rsidRDefault="00CC5973" w:rsidP="00CC5973">
      <w:pPr>
        <w:pStyle w:val="LeiptekstiMigri"/>
        <w:ind w:left="720"/>
      </w:pPr>
      <w:r>
        <w:t xml:space="preserve">1969. Siviiliprosessilaki. </w:t>
      </w:r>
      <w:r w:rsidRPr="00091C49">
        <w:t xml:space="preserve">Saatavilla: </w:t>
      </w:r>
      <w:r w:rsidR="00091C49" w:rsidRPr="00091C49">
        <w:t xml:space="preserve">Eastlaws, </w:t>
      </w:r>
      <w:hyperlink r:id="rId25" w:history="1">
        <w:r w:rsidR="00091C49" w:rsidRPr="00091C49">
          <w:rPr>
            <w:rStyle w:val="Hyperlinkki"/>
          </w:rPr>
          <w:t>https://www.eastlaws.com/legislation-full-text/ar/iraq/law/10-08-1969/no-83?type=1&amp;id=152749</w:t>
        </w:r>
      </w:hyperlink>
      <w:r w:rsidR="00FB12AC" w:rsidRPr="00FB12AC">
        <w:t xml:space="preserve"> </w:t>
      </w:r>
      <w:r w:rsidR="00FB12AC">
        <w:t>(arabiankielinen)</w:t>
      </w:r>
      <w:r w:rsidR="00F9130C" w:rsidRPr="00AE5629">
        <w:t>;</w:t>
      </w:r>
      <w:r w:rsidR="00091C49" w:rsidRPr="00091C49">
        <w:t xml:space="preserve"> </w:t>
      </w:r>
      <w:r w:rsidRPr="00091C49">
        <w:t>Kurdistan Center for International Law</w:t>
      </w:r>
      <w:r w:rsidR="003864FC" w:rsidRPr="00091C49">
        <w:t xml:space="preserve"> (83/1969)</w:t>
      </w:r>
      <w:r w:rsidRPr="00091C49">
        <w:t xml:space="preserve">, </w:t>
      </w:r>
      <w:hyperlink r:id="rId26" w:history="1">
        <w:r w:rsidRPr="00091C49">
          <w:rPr>
            <w:rStyle w:val="Hyperlinkki"/>
          </w:rPr>
          <w:t>https://kc-interlaw.org/web/viewer.html?file=https://images.kc-interlaw.org/root/root/images/924112021_Iraqi%20Civil%20Procedure%20Law.pdf</w:t>
        </w:r>
      </w:hyperlink>
      <w:r w:rsidRPr="00091C49">
        <w:t xml:space="preserve"> </w:t>
      </w:r>
      <w:r w:rsidR="003864FC" w:rsidRPr="00091C49">
        <w:t>(</w:t>
      </w:r>
      <w:r w:rsidR="00AE5629">
        <w:t xml:space="preserve">epävirallinen </w:t>
      </w:r>
      <w:r w:rsidRPr="00091C49">
        <w:t>engl. kielinen käännös).</w:t>
      </w:r>
    </w:p>
    <w:p w14:paraId="5F0EDC7B" w14:textId="6D833D3C" w:rsidR="006C5B80" w:rsidRPr="00D522F5" w:rsidRDefault="006C5B80" w:rsidP="00CC5973">
      <w:pPr>
        <w:pStyle w:val="LeiptekstiMigri"/>
        <w:ind w:left="720"/>
      </w:pPr>
      <w:r>
        <w:t>1959. Henkilöoikeudellisesta asemasta säätävä laki (188/1959)</w:t>
      </w:r>
      <w:r w:rsidR="009E7E28">
        <w:t>.</w:t>
      </w:r>
      <w:r w:rsidR="00B40802">
        <w:t xml:space="preserve"> Saatavilla:</w:t>
      </w:r>
      <w:r w:rsidR="000B6C2B">
        <w:t xml:space="preserve"> </w:t>
      </w:r>
      <w:hyperlink r:id="rId27" w:history="1">
        <w:r w:rsidR="00AC3117" w:rsidRPr="0051607F">
          <w:rPr>
            <w:rStyle w:val="Hyperlinkki"/>
          </w:rPr>
          <w:t>https://iraqld.e-sjc-services.iq/legislations/showlegislation?lawbookid=12294</w:t>
        </w:r>
      </w:hyperlink>
      <w:r w:rsidR="00AC3117">
        <w:t xml:space="preserve"> </w:t>
      </w:r>
      <w:r w:rsidR="00FB12AC">
        <w:t xml:space="preserve"> (arabiankielinen)</w:t>
      </w:r>
      <w:r w:rsidR="000B6C2B">
        <w:t>;</w:t>
      </w:r>
      <w:r w:rsidR="00BA7B32">
        <w:t xml:space="preserve"> Iraqi al-Amal:</w:t>
      </w:r>
      <w:r w:rsidR="00AD1BEE">
        <w:t xml:space="preserve"> </w:t>
      </w:r>
      <w:hyperlink r:id="rId28" w:history="1">
        <w:r w:rsidR="00FB12AC" w:rsidRPr="0051607F">
          <w:rPr>
            <w:rStyle w:val="Hyperlinkki"/>
          </w:rPr>
          <w:t>https://iraqi-alamal.org/wp-content/uploads/2019/10/law.pdf</w:t>
        </w:r>
      </w:hyperlink>
      <w:r w:rsidR="00D522F5" w:rsidRPr="00D522F5">
        <w:t xml:space="preserve"> (</w:t>
      </w:r>
      <w:r w:rsidR="000F29F1">
        <w:t xml:space="preserve">epävirallinen </w:t>
      </w:r>
      <w:r w:rsidR="00D522F5" w:rsidRPr="00D522F5">
        <w:t>engl. ki</w:t>
      </w:r>
      <w:r w:rsidR="00D522F5">
        <w:t>elinen käännös)</w:t>
      </w:r>
    </w:p>
    <w:p w14:paraId="4C03AD57" w14:textId="77777777" w:rsidR="00CC5973" w:rsidRPr="00644BEE" w:rsidRDefault="00CC5973" w:rsidP="00CC5973">
      <w:pPr>
        <w:pStyle w:val="LeiptekstiMigri"/>
        <w:tabs>
          <w:tab w:val="left" w:pos="3990"/>
        </w:tabs>
        <w:ind w:left="0"/>
        <w:rPr>
          <w:lang w:val="en-US"/>
        </w:rPr>
      </w:pPr>
      <w:r w:rsidRPr="008D40B2">
        <w:rPr>
          <w:lang w:val="en-US"/>
        </w:rPr>
        <w:t xml:space="preserve">Irakin Washingtonin-suurlähetystö [päiväämätön]. </w:t>
      </w:r>
      <w:r w:rsidRPr="00644BEE">
        <w:rPr>
          <w:lang w:val="en-US"/>
        </w:rPr>
        <w:t>Requirements for Issuing General and Special Powers of Attorney (POA)</w:t>
      </w:r>
      <w:r>
        <w:rPr>
          <w:lang w:val="en-US"/>
        </w:rPr>
        <w:t xml:space="preserve">, </w:t>
      </w:r>
      <w:hyperlink r:id="rId29" w:history="1">
        <w:r w:rsidRPr="0035120B">
          <w:rPr>
            <w:rStyle w:val="Hyperlinkki"/>
            <w:lang w:val="en-US"/>
          </w:rPr>
          <w:t>https://iraqiembassy.us/requirements-for-issuing-general-and-special-powers-of-attorney-poa/</w:t>
        </w:r>
      </w:hyperlink>
      <w:r>
        <w:rPr>
          <w:lang w:val="en-US"/>
        </w:rPr>
        <w:t xml:space="preserve"> (käyty 3.7.2026).</w:t>
      </w:r>
    </w:p>
    <w:p w14:paraId="441DAFC8" w14:textId="77777777" w:rsidR="00CC5973" w:rsidRDefault="00CC5973" w:rsidP="00CC5973">
      <w:pPr>
        <w:pStyle w:val="LeiptekstiMigri"/>
        <w:ind w:left="0"/>
        <w:rPr>
          <w:lang w:val="en-US"/>
        </w:rPr>
      </w:pPr>
      <w:r w:rsidRPr="005E0B6A">
        <w:rPr>
          <w:lang w:val="en-US"/>
        </w:rPr>
        <w:t>Kurdistan24 13.10.2025, Controversy O</w:t>
      </w:r>
      <w:r>
        <w:rPr>
          <w:lang w:val="en-US"/>
        </w:rPr>
        <w:t xml:space="preserve">ver Iraq’s Personal Status Law Continue Sparking Debate on Child Custody and Women’s Rights, </w:t>
      </w:r>
      <w:hyperlink r:id="rId30" w:history="1">
        <w:r w:rsidRPr="00921B62">
          <w:rPr>
            <w:rStyle w:val="Hyperlinkki"/>
            <w:lang w:val="en-US"/>
          </w:rPr>
          <w:t>https://www.kurdistan24.net/en/story/869069/controversy-over-iraqs-personal-status-law-continue-sparking-debate-on-child-custody-and-womens-rights</w:t>
        </w:r>
      </w:hyperlink>
      <w:r>
        <w:rPr>
          <w:lang w:val="en-US"/>
        </w:rPr>
        <w:t xml:space="preserve"> (käyty 26.6.2026).</w:t>
      </w:r>
    </w:p>
    <w:p w14:paraId="41ED68F1" w14:textId="77777777" w:rsidR="00CC5973" w:rsidRDefault="00CC5973" w:rsidP="00CC5973">
      <w:pPr>
        <w:pStyle w:val="LeiptekstiMigri"/>
        <w:ind w:left="0"/>
        <w:rPr>
          <w:lang w:val="en-US"/>
        </w:rPr>
      </w:pPr>
      <w:r w:rsidRPr="0035619D">
        <w:rPr>
          <w:lang w:val="en-US"/>
        </w:rPr>
        <w:t>Lafta, Kahlan 2025, Sectarian Personal Status Law R</w:t>
      </w:r>
      <w:r>
        <w:rPr>
          <w:lang w:val="en-US"/>
        </w:rPr>
        <w:t xml:space="preserve">eform in Iraq: Context, Changes, and Implicaations for Women’s Rights, </w:t>
      </w:r>
      <w:hyperlink r:id="rId31" w:history="1">
        <w:r w:rsidRPr="00345E94">
          <w:rPr>
            <w:rStyle w:val="Hyperlinkki"/>
            <w:lang w:val="en-US"/>
          </w:rPr>
          <w:t>https://web.semanticjournals.org/index.php/wos/article/view/867</w:t>
        </w:r>
      </w:hyperlink>
      <w:r>
        <w:rPr>
          <w:lang w:val="en-US"/>
        </w:rPr>
        <w:t xml:space="preserve"> (käyty 1.7.2026).</w:t>
      </w:r>
    </w:p>
    <w:p w14:paraId="4A7ED868" w14:textId="77777777" w:rsidR="00CC5973" w:rsidRDefault="00CC5973" w:rsidP="00CC5973">
      <w:pPr>
        <w:pStyle w:val="LeiptekstiMigri"/>
        <w:ind w:left="0"/>
        <w:rPr>
          <w:lang w:val="en-US"/>
        </w:rPr>
      </w:pPr>
      <w:r w:rsidRPr="00492962">
        <w:rPr>
          <w:lang w:val="en-US"/>
        </w:rPr>
        <w:t xml:space="preserve">Al-Marsoumi, Nur / Jinhagency 5.9.2023. </w:t>
      </w:r>
      <w:r>
        <w:rPr>
          <w:lang w:val="en-US"/>
        </w:rPr>
        <w:t xml:space="preserve">Women face pressure to give up their rights to inheritance in Iraq, </w:t>
      </w:r>
      <w:hyperlink r:id="rId32" w:history="1">
        <w:r w:rsidRPr="0035120B">
          <w:rPr>
            <w:rStyle w:val="Hyperlinkki"/>
            <w:lang w:val="en-US"/>
          </w:rPr>
          <w:t>https://jinhaagency.com/en/law/women-face-pressure-to-give-up-their-rights-to-inheritance-in-iraq-33797</w:t>
        </w:r>
      </w:hyperlink>
      <w:r>
        <w:rPr>
          <w:lang w:val="en-US"/>
        </w:rPr>
        <w:t xml:space="preserve"> (käyty 3.7.2026).</w:t>
      </w:r>
    </w:p>
    <w:p w14:paraId="7F40F75A" w14:textId="77777777" w:rsidR="00CC5973" w:rsidRPr="00D01113" w:rsidRDefault="00CC5973" w:rsidP="00CC5973">
      <w:pPr>
        <w:pStyle w:val="LeiptekstiMigri"/>
        <w:ind w:left="0"/>
        <w:rPr>
          <w:lang w:val="en-US"/>
        </w:rPr>
      </w:pPr>
      <w:r w:rsidRPr="00D01113">
        <w:rPr>
          <w:lang w:val="en-US"/>
        </w:rPr>
        <w:t>Martini, Lorena / The Square 12.3.2025. Fr</w:t>
      </w:r>
      <w:r>
        <w:rPr>
          <w:lang w:val="en-US"/>
        </w:rPr>
        <w:t xml:space="preserve">om Personal Status to General Amnesty: A Controversial Political Process in Iraq, </w:t>
      </w:r>
      <w:hyperlink r:id="rId33" w:history="1">
        <w:r w:rsidRPr="003C76EB">
          <w:rPr>
            <w:rStyle w:val="Hyperlinkki"/>
            <w:lang w:val="en-US"/>
          </w:rPr>
          <w:t>https://www.thesquarecentre.org/2025/03/12/from-personal-status-to-general-amnesty-a-controversial-political-process-in-iraq/</w:t>
        </w:r>
      </w:hyperlink>
      <w:r>
        <w:rPr>
          <w:lang w:val="en-US"/>
        </w:rPr>
        <w:t xml:space="preserve"> (käyty 6.7.2026).</w:t>
      </w:r>
    </w:p>
    <w:p w14:paraId="7A5E3546" w14:textId="77777777" w:rsidR="00CC5973" w:rsidRDefault="00CC5973" w:rsidP="00CC5973">
      <w:pPr>
        <w:pStyle w:val="LeiptekstiMigri"/>
        <w:ind w:left="0"/>
      </w:pPr>
      <w:r w:rsidRPr="00D54875">
        <w:t>Mohammed, Omar / Irakin korkein tu</w:t>
      </w:r>
      <w:r>
        <w:t xml:space="preserve">omarineuvosto 30.3.2026. </w:t>
      </w:r>
      <w:r w:rsidRPr="002F285D">
        <w:rPr>
          <w:lang w:val="en-US"/>
        </w:rPr>
        <w:t>Judges Discuss the Growing P</w:t>
      </w:r>
      <w:r>
        <w:rPr>
          <w:lang w:val="en-US"/>
        </w:rPr>
        <w:t xml:space="preserve">henomenon. Khul’ Divorce: Conditional Freedom for the Wife or a Costly Concession? </w:t>
      </w:r>
      <w:hyperlink r:id="rId34" w:history="1">
        <w:r w:rsidRPr="002F285D">
          <w:rPr>
            <w:rStyle w:val="Hyperlinkki"/>
          </w:rPr>
          <w:t>https://www.sjc.iq/view-en.79418/?__cf_chl_f_tk=zRiQ75Qnd0kw5kzjCATtj15.a3VH8mBFeuzcuqIgJYk-1783428312-1.0.1.1-_Bn3u6PL7Yq2ePoEklGTFfKcYs2oHxN1EwcdNXy0t.w</w:t>
        </w:r>
      </w:hyperlink>
      <w:r w:rsidRPr="002F285D">
        <w:t xml:space="preserve"> (kä</w:t>
      </w:r>
      <w:r>
        <w:t>yty 7.7.2026).</w:t>
      </w:r>
    </w:p>
    <w:p w14:paraId="0B2EA8C2" w14:textId="77777777" w:rsidR="00CC5973" w:rsidRPr="00A9130D" w:rsidRDefault="00CC5973" w:rsidP="00CC5973">
      <w:pPr>
        <w:pStyle w:val="LeiptekstiMigri"/>
        <w:ind w:left="0"/>
      </w:pPr>
      <w:r>
        <w:lastRenderedPageBreak/>
        <w:t xml:space="preserve">Muayad &amp; Associates 6.2.2024. </w:t>
      </w:r>
      <w:r w:rsidRPr="00A9130D">
        <w:rPr>
          <w:rFonts w:ascii="Arial" w:hAnsi="Arial" w:cs="Arial"/>
        </w:rPr>
        <w:t>تعرف</w:t>
      </w:r>
      <w:r w:rsidRPr="00A9130D">
        <w:t xml:space="preserve"> </w:t>
      </w:r>
      <w:r w:rsidRPr="00A9130D">
        <w:rPr>
          <w:rFonts w:ascii="Arial" w:hAnsi="Arial" w:cs="Arial"/>
        </w:rPr>
        <w:t>على</w:t>
      </w:r>
      <w:r w:rsidRPr="00A9130D">
        <w:t xml:space="preserve"> </w:t>
      </w:r>
      <w:r w:rsidRPr="00A9130D">
        <w:rPr>
          <w:rFonts w:ascii="Arial" w:hAnsi="Arial" w:cs="Arial"/>
        </w:rPr>
        <w:t>حصة</w:t>
      </w:r>
      <w:r w:rsidRPr="00A9130D">
        <w:t xml:space="preserve"> </w:t>
      </w:r>
      <w:r w:rsidRPr="00A9130D">
        <w:rPr>
          <w:rFonts w:ascii="Arial" w:hAnsi="Arial" w:cs="Arial"/>
        </w:rPr>
        <w:t>الزوجة</w:t>
      </w:r>
      <w:r w:rsidRPr="00A9130D">
        <w:t xml:space="preserve"> </w:t>
      </w:r>
      <w:r w:rsidRPr="00A9130D">
        <w:rPr>
          <w:rFonts w:ascii="Arial" w:hAnsi="Arial" w:cs="Arial"/>
        </w:rPr>
        <w:t>من</w:t>
      </w:r>
      <w:r w:rsidRPr="00A9130D">
        <w:t xml:space="preserve"> </w:t>
      </w:r>
      <w:r w:rsidRPr="00A9130D">
        <w:rPr>
          <w:rFonts w:ascii="Arial" w:hAnsi="Arial" w:cs="Arial"/>
        </w:rPr>
        <w:t>ميراث</w:t>
      </w:r>
      <w:r w:rsidRPr="00A9130D">
        <w:t xml:space="preserve"> </w:t>
      </w:r>
      <w:r w:rsidRPr="00A9130D">
        <w:rPr>
          <w:rFonts w:ascii="Arial" w:hAnsi="Arial" w:cs="Arial"/>
        </w:rPr>
        <w:t>زوجها</w:t>
      </w:r>
      <w:r w:rsidRPr="00A9130D">
        <w:t xml:space="preserve"> </w:t>
      </w:r>
      <w:r w:rsidRPr="00A9130D">
        <w:rPr>
          <w:rFonts w:ascii="Arial" w:hAnsi="Arial" w:cs="Arial"/>
        </w:rPr>
        <w:t>في</w:t>
      </w:r>
      <w:r w:rsidRPr="00A9130D">
        <w:t xml:space="preserve"> </w:t>
      </w:r>
      <w:r w:rsidRPr="00A9130D">
        <w:rPr>
          <w:rFonts w:ascii="Arial" w:hAnsi="Arial" w:cs="Arial"/>
        </w:rPr>
        <w:t>القانون</w:t>
      </w:r>
      <w:r w:rsidRPr="00A9130D">
        <w:t xml:space="preserve"> </w:t>
      </w:r>
      <w:r w:rsidRPr="00A9130D">
        <w:rPr>
          <w:rFonts w:ascii="Arial" w:hAnsi="Arial" w:cs="Arial"/>
        </w:rPr>
        <w:t>العراقي</w:t>
      </w:r>
      <w:r w:rsidRPr="00A9130D">
        <w:t xml:space="preserve"> 2024</w:t>
      </w:r>
      <w:r>
        <w:t xml:space="preserve">. </w:t>
      </w:r>
      <w:hyperlink r:id="rId35" w:history="1">
        <w:r w:rsidRPr="00A9130D">
          <w:rPr>
            <w:rStyle w:val="Hyperlinkki"/>
          </w:rPr>
          <w:t>https://muayadandassociates.com/ar/%D8%AD%D8%B5%D8%A9-%D8%A7%D9%84%D8%B2%D9%88%D8%AC%D8%A9-%D9%85%D9%86-%D9%85%D9%8A%D8%B1%D8%A7%D8%AB-%D8%B2%D9%88%D8%AC%D9%87%D8%A7-%D9%81%D9%8A-%D8%A7%D9%84%D9%82%D8%A7%D9%86%D9%88%D9%86-%D8%A7%D9%84/</w:t>
        </w:r>
      </w:hyperlink>
      <w:r w:rsidRPr="00A9130D">
        <w:t xml:space="preserve"> (kä</w:t>
      </w:r>
      <w:r>
        <w:t>yty 7.7.2026).</w:t>
      </w:r>
    </w:p>
    <w:p w14:paraId="180CC45D" w14:textId="77777777" w:rsidR="00CC5973" w:rsidRPr="0035619D" w:rsidRDefault="00CC5973" w:rsidP="00CC5973">
      <w:pPr>
        <w:pStyle w:val="LeiptekstiMigri"/>
        <w:ind w:left="0"/>
        <w:rPr>
          <w:lang w:val="en-US"/>
        </w:rPr>
      </w:pPr>
      <w:r>
        <w:rPr>
          <w:lang w:val="en-US"/>
        </w:rPr>
        <w:t xml:space="preserve">Naeem, Nashwa / Jummar 5.1.2025, They took my share. How women’s inheritance rights are taken by law, religion and tradition, </w:t>
      </w:r>
      <w:hyperlink r:id="rId36" w:history="1">
        <w:r w:rsidRPr="00345E94">
          <w:rPr>
            <w:rStyle w:val="Hyperlinkki"/>
            <w:lang w:val="en-US"/>
          </w:rPr>
          <w:t>https://jummar.media/en/2025/01/05/they-took-my-share-how-womens-inheritance-rights-are-taken-by-law-religion-and-tradition/</w:t>
        </w:r>
      </w:hyperlink>
      <w:r>
        <w:rPr>
          <w:lang w:val="en-US"/>
        </w:rPr>
        <w:t xml:space="preserve"> (käyty 1.7.2026).</w:t>
      </w:r>
    </w:p>
    <w:p w14:paraId="5F757941" w14:textId="443ACA3C" w:rsidR="00A60219" w:rsidRDefault="00A60219" w:rsidP="00CC5973">
      <w:pPr>
        <w:pStyle w:val="LeiptekstiMigri"/>
        <w:ind w:left="0"/>
        <w:rPr>
          <w:lang w:val="en-US"/>
        </w:rPr>
      </w:pPr>
      <w:r>
        <w:rPr>
          <w:lang w:val="en-US"/>
        </w:rPr>
        <w:t xml:space="preserve">The Return 30.4.2026. Iraq’s New ID Policy: What It Means For Iraqis Living Abroad, </w:t>
      </w:r>
      <w:hyperlink r:id="rId37" w:history="1">
        <w:r w:rsidRPr="003C76EB">
          <w:rPr>
            <w:rStyle w:val="Hyperlinkki"/>
            <w:lang w:val="en-US"/>
          </w:rPr>
          <w:t>https://the-return.co/iraqs-new-id-policy-what-it-means-for-iraqis-living-abroad/</w:t>
        </w:r>
      </w:hyperlink>
      <w:r>
        <w:rPr>
          <w:lang w:val="en-US"/>
        </w:rPr>
        <w:t xml:space="preserve"> (käyty 8.7.2026).</w:t>
      </w:r>
    </w:p>
    <w:p w14:paraId="3CD5EBDE" w14:textId="2EAA89CE" w:rsidR="00CC5973" w:rsidRDefault="00CC5973" w:rsidP="00CC5973">
      <w:pPr>
        <w:pStyle w:val="LeiptekstiMigri"/>
        <w:ind w:left="0"/>
        <w:rPr>
          <w:lang w:val="en-US"/>
        </w:rPr>
      </w:pPr>
      <w:r w:rsidRPr="00D60B52">
        <w:rPr>
          <w:lang w:val="en-US"/>
        </w:rPr>
        <w:t xml:space="preserve">Shafaq News </w:t>
      </w:r>
    </w:p>
    <w:p w14:paraId="75C67372" w14:textId="77777777" w:rsidR="00CC5973" w:rsidRDefault="00CC5973" w:rsidP="00CC5973">
      <w:pPr>
        <w:pStyle w:val="LeiptekstiMigri"/>
        <w:ind w:left="720"/>
        <w:rPr>
          <w:lang w:val="en-US"/>
        </w:rPr>
      </w:pPr>
      <w:r w:rsidRPr="00D60B52">
        <w:rPr>
          <w:lang w:val="en-US"/>
        </w:rPr>
        <w:t>31.8.2025. New Jaafari Code f</w:t>
      </w:r>
      <w:r>
        <w:rPr>
          <w:lang w:val="en-US"/>
        </w:rPr>
        <w:t xml:space="preserve">uels deep division in Iraq, </w:t>
      </w:r>
      <w:hyperlink r:id="rId38" w:history="1">
        <w:r w:rsidRPr="0035120B">
          <w:rPr>
            <w:rStyle w:val="Hyperlinkki"/>
            <w:lang w:val="en-US"/>
          </w:rPr>
          <w:t>https://shafaq.com/en/Report/New-Jaafari-Code-fuels-deep-division-in-Iraq</w:t>
        </w:r>
      </w:hyperlink>
      <w:r>
        <w:rPr>
          <w:lang w:val="en-US"/>
        </w:rPr>
        <w:t xml:space="preserve"> (käyty 26.6.2026).</w:t>
      </w:r>
    </w:p>
    <w:p w14:paraId="5947C769" w14:textId="77777777" w:rsidR="00CC5973" w:rsidRDefault="00CC5973" w:rsidP="00CC5973">
      <w:pPr>
        <w:pStyle w:val="LeiptekstiMigri"/>
        <w:ind w:left="720"/>
      </w:pPr>
      <w:r>
        <w:rPr>
          <w:lang w:val="en-US"/>
        </w:rPr>
        <w:t xml:space="preserve">29.11.2022. Contrary to Islam and law.. Why are Iraqi women denied their inheritance? </w:t>
      </w:r>
      <w:hyperlink r:id="rId39" w:history="1">
        <w:r w:rsidRPr="00227CF2">
          <w:rPr>
            <w:rStyle w:val="Hyperlinkki"/>
          </w:rPr>
          <w:t>https://shafaq.com/en/Report/Contrary-to-Islam-and-law-Why-are-Iraqi-women-denied-their-inheritance</w:t>
        </w:r>
      </w:hyperlink>
      <w:r w:rsidRPr="00227CF2">
        <w:t xml:space="preserve"> (kä</w:t>
      </w:r>
      <w:r>
        <w:t>yty 3.7.2026).</w:t>
      </w:r>
    </w:p>
    <w:p w14:paraId="31B9EFAC" w14:textId="77777777" w:rsidR="00CC5973" w:rsidRDefault="00CC5973" w:rsidP="00CC5973">
      <w:pPr>
        <w:pStyle w:val="LeiptekstiMigri"/>
        <w:ind w:left="0"/>
        <w:rPr>
          <w:lang w:val="en-US"/>
        </w:rPr>
      </w:pPr>
      <w:r w:rsidRPr="0038199B">
        <w:rPr>
          <w:lang w:val="en-US"/>
        </w:rPr>
        <w:t xml:space="preserve">Simaet Bhatha </w:t>
      </w:r>
    </w:p>
    <w:p w14:paraId="452C5BDF" w14:textId="77777777" w:rsidR="00CC5973" w:rsidRDefault="00CC5973" w:rsidP="00CC5973">
      <w:pPr>
        <w:pStyle w:val="LeiptekstiMigri"/>
        <w:ind w:left="720"/>
        <w:rPr>
          <w:lang w:val="en-US"/>
        </w:rPr>
      </w:pPr>
      <w:r>
        <w:rPr>
          <w:lang w:val="en-US"/>
        </w:rPr>
        <w:t xml:space="preserve">5.2.2025. Frequently Asked Questions about Inheritance in Iraq, </w:t>
      </w:r>
      <w:hyperlink r:id="rId40" w:history="1">
        <w:r w:rsidRPr="00DB4DA7">
          <w:rPr>
            <w:rStyle w:val="Hyperlinkki"/>
            <w:lang w:val="en-US"/>
          </w:rPr>
          <w:t>https://www.simaetbhatha.com/en-us/articles/12557782528797</w:t>
        </w:r>
      </w:hyperlink>
      <w:r>
        <w:rPr>
          <w:lang w:val="en-US"/>
        </w:rPr>
        <w:t xml:space="preserve"> (käyty 7.7.2026).</w:t>
      </w:r>
    </w:p>
    <w:p w14:paraId="51CD514D" w14:textId="47CF1A07" w:rsidR="00CC5973" w:rsidRDefault="00CC5973" w:rsidP="00CC5973">
      <w:pPr>
        <w:pStyle w:val="LeiptekstiMigri"/>
        <w:ind w:left="720"/>
        <w:rPr>
          <w:lang w:val="en-US"/>
        </w:rPr>
      </w:pPr>
      <w:r w:rsidRPr="0038199B">
        <w:rPr>
          <w:lang w:val="en-US"/>
        </w:rPr>
        <w:t>28.2.2024</w:t>
      </w:r>
      <w:r w:rsidR="008F691D">
        <w:rPr>
          <w:lang w:val="en-US"/>
        </w:rPr>
        <w:t>a</w:t>
      </w:r>
      <w:r w:rsidRPr="0038199B">
        <w:rPr>
          <w:lang w:val="en-US"/>
        </w:rPr>
        <w:t>. Inheritance in t</w:t>
      </w:r>
      <w:r>
        <w:rPr>
          <w:lang w:val="en-US"/>
        </w:rPr>
        <w:t xml:space="preserve">he Iraqi law, </w:t>
      </w:r>
      <w:hyperlink r:id="rId41" w:history="1">
        <w:r w:rsidRPr="00DB4DA7">
          <w:rPr>
            <w:rStyle w:val="Hyperlinkki"/>
            <w:lang w:val="en-US"/>
          </w:rPr>
          <w:t>https://www.simaetbhatha.com/hc/en-us/articles/4821595761175-Inheritance-in-the-Iraqi-law</w:t>
        </w:r>
      </w:hyperlink>
      <w:r w:rsidRPr="00FF3569">
        <w:rPr>
          <w:lang w:val="en-US"/>
        </w:rPr>
        <w:t xml:space="preserve"> (käyty 6.7.2026).</w:t>
      </w:r>
    </w:p>
    <w:p w14:paraId="2CC33D28" w14:textId="576ECCEF" w:rsidR="008F691D" w:rsidRPr="00FF3569" w:rsidRDefault="008F691D" w:rsidP="00CC5973">
      <w:pPr>
        <w:pStyle w:val="LeiptekstiMigri"/>
        <w:ind w:left="720"/>
        <w:rPr>
          <w:lang w:val="en-US"/>
        </w:rPr>
      </w:pPr>
      <w:r>
        <w:rPr>
          <w:lang w:val="en-US"/>
        </w:rPr>
        <w:t xml:space="preserve">28.2.2024b. </w:t>
      </w:r>
      <w:r w:rsidRPr="008F691D">
        <w:rPr>
          <w:rFonts w:ascii="Arial" w:hAnsi="Arial" w:cs="Arial"/>
          <w:lang w:val="en-US"/>
        </w:rPr>
        <w:t>احكام</w:t>
      </w:r>
      <w:r w:rsidRPr="008F691D">
        <w:rPr>
          <w:lang w:val="en-US"/>
        </w:rPr>
        <w:t xml:space="preserve"> </w:t>
      </w:r>
      <w:r w:rsidRPr="008F691D">
        <w:rPr>
          <w:rFonts w:ascii="Arial" w:hAnsi="Arial" w:cs="Arial"/>
          <w:lang w:val="en-US"/>
        </w:rPr>
        <w:t>الميراث</w:t>
      </w:r>
      <w:r w:rsidRPr="008F691D">
        <w:rPr>
          <w:lang w:val="en-US"/>
        </w:rPr>
        <w:t xml:space="preserve"> </w:t>
      </w:r>
      <w:r w:rsidRPr="008F691D">
        <w:rPr>
          <w:rFonts w:ascii="Arial" w:hAnsi="Arial" w:cs="Arial"/>
          <w:lang w:val="en-US"/>
        </w:rPr>
        <w:t>في</w:t>
      </w:r>
      <w:r w:rsidRPr="008F691D">
        <w:rPr>
          <w:lang w:val="en-US"/>
        </w:rPr>
        <w:t xml:space="preserve"> </w:t>
      </w:r>
      <w:r w:rsidRPr="008F691D">
        <w:rPr>
          <w:rFonts w:ascii="Arial" w:hAnsi="Arial" w:cs="Arial"/>
          <w:lang w:val="en-US"/>
        </w:rPr>
        <w:t>القانون</w:t>
      </w:r>
      <w:r w:rsidRPr="008F691D">
        <w:rPr>
          <w:lang w:val="en-US"/>
        </w:rPr>
        <w:t xml:space="preserve"> </w:t>
      </w:r>
      <w:r w:rsidRPr="008F691D">
        <w:rPr>
          <w:rFonts w:ascii="Arial" w:hAnsi="Arial" w:cs="Arial"/>
          <w:lang w:val="en-US"/>
        </w:rPr>
        <w:t>العراقي</w:t>
      </w:r>
      <w:r>
        <w:rPr>
          <w:rFonts w:ascii="Arial" w:hAnsi="Arial" w:cs="Arial"/>
          <w:lang w:val="en-US"/>
        </w:rPr>
        <w:t>,</w:t>
      </w:r>
      <w:r>
        <w:rPr>
          <w:lang w:val="en-US"/>
        </w:rPr>
        <w:t xml:space="preserve"> </w:t>
      </w:r>
      <w:hyperlink r:id="rId42" w:history="1">
        <w:r w:rsidRPr="0051607F">
          <w:rPr>
            <w:rStyle w:val="Hyperlinkki"/>
            <w:lang w:val="en-US"/>
          </w:rPr>
          <w:t>https://www.simaetbhatha.com/hc/ar/articles/4821595761175-Inheritance-in-the-Iraqi-law</w:t>
        </w:r>
      </w:hyperlink>
      <w:r>
        <w:rPr>
          <w:lang w:val="en-US"/>
        </w:rPr>
        <w:t xml:space="preserve"> (käyty 10.7.2026).</w:t>
      </w:r>
    </w:p>
    <w:p w14:paraId="32472C89" w14:textId="77777777" w:rsidR="00873A37" w:rsidRPr="00CC5973" w:rsidRDefault="00873A37" w:rsidP="00873A37">
      <w:pPr>
        <w:rPr>
          <w:lang w:val="en-US"/>
        </w:rPr>
      </w:pPr>
    </w:p>
    <w:p w14:paraId="6F844ED8" w14:textId="77777777" w:rsidR="00082DFE" w:rsidRPr="001D5CAA" w:rsidRDefault="00BE0F90" w:rsidP="00082DFE">
      <w:pPr>
        <w:pStyle w:val="LeiptekstiMigri"/>
        <w:ind w:left="0"/>
        <w:rPr>
          <w:lang w:val="en-GB"/>
        </w:rPr>
      </w:pPr>
      <w:r>
        <w:rPr>
          <w:b/>
        </w:rPr>
        <w:pict w14:anchorId="62F3FD1D">
          <v:rect id="_x0000_i1029" style="width:0;height:1.5pt" o:hralign="center" o:hrstd="t" o:hr="t" fillcolor="#a0a0a0" stroked="f"/>
        </w:pict>
      </w:r>
    </w:p>
    <w:p w14:paraId="41D1B4D2" w14:textId="77777777" w:rsidR="00082DFE" w:rsidRDefault="001D63F6" w:rsidP="00810134">
      <w:pPr>
        <w:pStyle w:val="Numeroimatonotsikko"/>
      </w:pPr>
      <w:r>
        <w:t>Tietoja vastauksesta</w:t>
      </w:r>
    </w:p>
    <w:p w14:paraId="2512BBF9"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AC21792" w14:textId="77777777" w:rsidR="001D63F6" w:rsidRPr="00BC367A" w:rsidRDefault="001D63F6" w:rsidP="00810134">
      <w:pPr>
        <w:pStyle w:val="Numeroimatonotsikko"/>
        <w:rPr>
          <w:lang w:val="en-GB"/>
        </w:rPr>
      </w:pPr>
      <w:r w:rsidRPr="00BC367A">
        <w:rPr>
          <w:lang w:val="en-GB"/>
        </w:rPr>
        <w:t>Information on the response</w:t>
      </w:r>
    </w:p>
    <w:p w14:paraId="630F2D41"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w:t>
      </w:r>
      <w:r w:rsidRPr="00A35BCB">
        <w:rPr>
          <w:lang w:val="en-GB"/>
        </w:rPr>
        <w:lastRenderedPageBreak/>
        <w:t>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848020F" w14:textId="5808DC05" w:rsidR="00B112B8" w:rsidRPr="00A35BCB" w:rsidRDefault="00B112B8" w:rsidP="00A35BCB">
      <w:pPr>
        <w:rPr>
          <w:lang w:val="en-GB"/>
        </w:rPr>
      </w:pPr>
    </w:p>
    <w:sectPr w:rsidR="00B112B8" w:rsidRPr="00A35BCB" w:rsidSect="00072438">
      <w:headerReference w:type="default" r:id="rId43"/>
      <w:headerReference w:type="first" r:id="rId44"/>
      <w:footerReference w:type="first" r:id="rId4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811F" w14:textId="77777777" w:rsidR="007304DC" w:rsidRDefault="007304DC" w:rsidP="007E0069">
      <w:pPr>
        <w:spacing w:after="0" w:line="240" w:lineRule="auto"/>
      </w:pPr>
      <w:r>
        <w:separator/>
      </w:r>
    </w:p>
  </w:endnote>
  <w:endnote w:type="continuationSeparator" w:id="0">
    <w:p w14:paraId="544F34C3" w14:textId="77777777" w:rsidR="007304DC" w:rsidRDefault="007304DC"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5EE4"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FA5582A" w14:textId="77777777" w:rsidTr="00483E37">
      <w:trPr>
        <w:trHeight w:val="189"/>
      </w:trPr>
      <w:tc>
        <w:tcPr>
          <w:tcW w:w="1560" w:type="dxa"/>
        </w:tcPr>
        <w:p w14:paraId="62205779" w14:textId="77777777" w:rsidR="004D76E3" w:rsidRPr="00A83D54" w:rsidRDefault="004D76E3" w:rsidP="00337E76">
          <w:pPr>
            <w:pStyle w:val="Alatunniste"/>
            <w:rPr>
              <w:sz w:val="14"/>
              <w:szCs w:val="14"/>
            </w:rPr>
          </w:pPr>
        </w:p>
      </w:tc>
      <w:tc>
        <w:tcPr>
          <w:tcW w:w="2551" w:type="dxa"/>
        </w:tcPr>
        <w:p w14:paraId="0DC8A689" w14:textId="77777777" w:rsidR="004D76E3" w:rsidRPr="00A83D54" w:rsidRDefault="004D76E3" w:rsidP="00337E76">
          <w:pPr>
            <w:pStyle w:val="Alatunniste"/>
            <w:rPr>
              <w:sz w:val="14"/>
              <w:szCs w:val="14"/>
            </w:rPr>
          </w:pPr>
        </w:p>
      </w:tc>
      <w:tc>
        <w:tcPr>
          <w:tcW w:w="2552" w:type="dxa"/>
        </w:tcPr>
        <w:p w14:paraId="65A9869F" w14:textId="77777777" w:rsidR="004D76E3" w:rsidRPr="00A83D54" w:rsidRDefault="004D76E3" w:rsidP="00337E76">
          <w:pPr>
            <w:pStyle w:val="Alatunniste"/>
            <w:rPr>
              <w:sz w:val="14"/>
              <w:szCs w:val="14"/>
            </w:rPr>
          </w:pPr>
        </w:p>
      </w:tc>
      <w:tc>
        <w:tcPr>
          <w:tcW w:w="2830" w:type="dxa"/>
        </w:tcPr>
        <w:p w14:paraId="339E6C16" w14:textId="77777777" w:rsidR="004D76E3" w:rsidRPr="00A83D54" w:rsidRDefault="004D76E3" w:rsidP="00337E76">
          <w:pPr>
            <w:pStyle w:val="Alatunniste"/>
            <w:rPr>
              <w:sz w:val="14"/>
              <w:szCs w:val="14"/>
            </w:rPr>
          </w:pPr>
        </w:p>
      </w:tc>
    </w:tr>
    <w:tr w:rsidR="004D76E3" w:rsidRPr="00A83D54" w14:paraId="758E3C43" w14:textId="77777777" w:rsidTr="00483E37">
      <w:trPr>
        <w:trHeight w:val="189"/>
      </w:trPr>
      <w:tc>
        <w:tcPr>
          <w:tcW w:w="1560" w:type="dxa"/>
        </w:tcPr>
        <w:p w14:paraId="65342ABB" w14:textId="77777777" w:rsidR="004D76E3" w:rsidRPr="00A83D54" w:rsidRDefault="004D76E3" w:rsidP="00337E76">
          <w:pPr>
            <w:pStyle w:val="Alatunniste"/>
            <w:rPr>
              <w:sz w:val="14"/>
              <w:szCs w:val="14"/>
            </w:rPr>
          </w:pPr>
        </w:p>
      </w:tc>
      <w:tc>
        <w:tcPr>
          <w:tcW w:w="2551" w:type="dxa"/>
        </w:tcPr>
        <w:p w14:paraId="1D584238" w14:textId="77777777" w:rsidR="004D76E3" w:rsidRPr="00A83D54" w:rsidRDefault="004D76E3" w:rsidP="00337E76">
          <w:pPr>
            <w:pStyle w:val="Alatunniste"/>
            <w:rPr>
              <w:sz w:val="14"/>
              <w:szCs w:val="14"/>
            </w:rPr>
          </w:pPr>
        </w:p>
      </w:tc>
      <w:tc>
        <w:tcPr>
          <w:tcW w:w="2552" w:type="dxa"/>
        </w:tcPr>
        <w:p w14:paraId="5DF1229A" w14:textId="77777777" w:rsidR="004D76E3" w:rsidRPr="00A83D54" w:rsidRDefault="004D76E3" w:rsidP="00337E76">
          <w:pPr>
            <w:pStyle w:val="Alatunniste"/>
            <w:rPr>
              <w:sz w:val="14"/>
              <w:szCs w:val="14"/>
            </w:rPr>
          </w:pPr>
        </w:p>
      </w:tc>
      <w:tc>
        <w:tcPr>
          <w:tcW w:w="2830" w:type="dxa"/>
        </w:tcPr>
        <w:p w14:paraId="06C959FF" w14:textId="77777777" w:rsidR="004D76E3" w:rsidRPr="00A83D54" w:rsidRDefault="004D76E3" w:rsidP="00337E76">
          <w:pPr>
            <w:pStyle w:val="Alatunniste"/>
            <w:rPr>
              <w:sz w:val="14"/>
              <w:szCs w:val="14"/>
            </w:rPr>
          </w:pPr>
        </w:p>
      </w:tc>
    </w:tr>
    <w:tr w:rsidR="004D76E3" w:rsidRPr="00A83D54" w14:paraId="1A370A2C" w14:textId="77777777" w:rsidTr="00483E37">
      <w:trPr>
        <w:trHeight w:val="189"/>
      </w:trPr>
      <w:tc>
        <w:tcPr>
          <w:tcW w:w="1560" w:type="dxa"/>
        </w:tcPr>
        <w:p w14:paraId="6CAAD21E" w14:textId="77777777" w:rsidR="004D76E3" w:rsidRPr="00A83D54" w:rsidRDefault="004D76E3" w:rsidP="00337E76">
          <w:pPr>
            <w:pStyle w:val="Alatunniste"/>
            <w:rPr>
              <w:sz w:val="14"/>
              <w:szCs w:val="14"/>
            </w:rPr>
          </w:pPr>
        </w:p>
      </w:tc>
      <w:tc>
        <w:tcPr>
          <w:tcW w:w="2551" w:type="dxa"/>
        </w:tcPr>
        <w:p w14:paraId="704BCBCC" w14:textId="77777777" w:rsidR="004D76E3" w:rsidRPr="00A83D54" w:rsidRDefault="004D76E3" w:rsidP="00337E76">
          <w:pPr>
            <w:pStyle w:val="Alatunniste"/>
            <w:rPr>
              <w:sz w:val="14"/>
              <w:szCs w:val="14"/>
            </w:rPr>
          </w:pPr>
        </w:p>
      </w:tc>
      <w:tc>
        <w:tcPr>
          <w:tcW w:w="2552" w:type="dxa"/>
        </w:tcPr>
        <w:p w14:paraId="26D6378A" w14:textId="77777777" w:rsidR="004D76E3" w:rsidRPr="00A83D54" w:rsidRDefault="004D76E3" w:rsidP="00337E76">
          <w:pPr>
            <w:pStyle w:val="Alatunniste"/>
            <w:rPr>
              <w:sz w:val="14"/>
              <w:szCs w:val="14"/>
            </w:rPr>
          </w:pPr>
        </w:p>
      </w:tc>
      <w:tc>
        <w:tcPr>
          <w:tcW w:w="2830" w:type="dxa"/>
        </w:tcPr>
        <w:p w14:paraId="031D684D" w14:textId="77777777" w:rsidR="004D76E3" w:rsidRPr="00A83D54" w:rsidRDefault="004D76E3" w:rsidP="00337E76">
          <w:pPr>
            <w:pStyle w:val="Alatunniste"/>
            <w:rPr>
              <w:sz w:val="14"/>
              <w:szCs w:val="14"/>
            </w:rPr>
          </w:pPr>
        </w:p>
      </w:tc>
    </w:tr>
  </w:tbl>
  <w:p w14:paraId="4C8DF64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B1993FC" wp14:editId="1F4F23EF">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D2EE147"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BD9D" w14:textId="77777777" w:rsidR="007304DC" w:rsidRDefault="007304DC" w:rsidP="007E0069">
      <w:pPr>
        <w:spacing w:after="0" w:line="240" w:lineRule="auto"/>
      </w:pPr>
      <w:r>
        <w:separator/>
      </w:r>
    </w:p>
  </w:footnote>
  <w:footnote w:type="continuationSeparator" w:id="0">
    <w:p w14:paraId="7D6F82A1" w14:textId="77777777" w:rsidR="007304DC" w:rsidRDefault="007304DC" w:rsidP="007E0069">
      <w:pPr>
        <w:spacing w:after="0" w:line="240" w:lineRule="auto"/>
      </w:pPr>
      <w:r>
        <w:continuationSeparator/>
      </w:r>
    </w:p>
  </w:footnote>
  <w:footnote w:id="1">
    <w:p w14:paraId="276E3E30" w14:textId="12448F29" w:rsidR="0049569D" w:rsidRPr="00D130BC" w:rsidRDefault="0049569D">
      <w:pPr>
        <w:pStyle w:val="Alaviitteenteksti"/>
        <w:rPr>
          <w:lang w:val="en-US"/>
        </w:rPr>
      </w:pPr>
      <w:r>
        <w:rPr>
          <w:rStyle w:val="Alaviitteenviite"/>
        </w:rPr>
        <w:footnoteRef/>
      </w:r>
      <w:r w:rsidRPr="00D130BC">
        <w:rPr>
          <w:lang w:val="en-US"/>
        </w:rPr>
        <w:t xml:space="preserve"> </w:t>
      </w:r>
      <w:r w:rsidR="00D130BC" w:rsidRPr="00D130BC">
        <w:rPr>
          <w:lang w:val="en-US"/>
        </w:rPr>
        <w:t>Equality Now 6.2.2026; Human</w:t>
      </w:r>
      <w:r w:rsidR="00D130BC">
        <w:rPr>
          <w:lang w:val="en-US"/>
        </w:rPr>
        <w:t xml:space="preserve"> Rights Watch 10.3.2025.</w:t>
      </w:r>
    </w:p>
  </w:footnote>
  <w:footnote w:id="2">
    <w:p w14:paraId="570EC20C" w14:textId="727E3162" w:rsidR="00CE5E36" w:rsidRPr="00CF2743" w:rsidRDefault="00CE5E36" w:rsidP="00CE5E36">
      <w:pPr>
        <w:pStyle w:val="Alaviitteenteksti"/>
      </w:pPr>
      <w:r>
        <w:rPr>
          <w:rStyle w:val="Alaviitteenviite"/>
        </w:rPr>
        <w:footnoteRef/>
      </w:r>
      <w:r w:rsidRPr="00CF2743">
        <w:t xml:space="preserve"> Irakin </w:t>
      </w:r>
      <w:r w:rsidR="0056439A" w:rsidRPr="00CF2743">
        <w:t>tasavalta 1959</w:t>
      </w:r>
      <w:r w:rsidR="001A1852" w:rsidRPr="00CF2743">
        <w:t xml:space="preserve"> (laki</w:t>
      </w:r>
      <w:r w:rsidR="005A5E7D" w:rsidRPr="00CF2743">
        <w:t xml:space="preserve"> nro</w:t>
      </w:r>
      <w:r w:rsidR="001A1852" w:rsidRPr="00CF2743">
        <w:t xml:space="preserve"> 188)</w:t>
      </w:r>
      <w:r w:rsidRPr="00CF2743">
        <w:t>.</w:t>
      </w:r>
      <w:r w:rsidR="00CF2743" w:rsidRPr="00CF2743">
        <w:t xml:space="preserve"> </w:t>
      </w:r>
      <w:r w:rsidR="00CF2743">
        <w:t xml:space="preserve">Huom. kyselyvastausta laatiessa saatavilla olevassa lain 188/1959 </w:t>
      </w:r>
      <w:r w:rsidR="00AC3117">
        <w:t>lakitekstissä ei ole välttämättä uusimpia muutoksia</w:t>
      </w:r>
      <w:r w:rsidR="00CF2743">
        <w:t>.</w:t>
      </w:r>
      <w:r w:rsidR="009B5B7B">
        <w:t xml:space="preserve"> </w:t>
      </w:r>
      <w:r w:rsidR="00AC3117">
        <w:t>Esimerkiksi vuoden 2025 l</w:t>
      </w:r>
      <w:r w:rsidR="009B5B7B">
        <w:t>akimuutoksen teksti on saatavilla erikseen.</w:t>
      </w:r>
      <w:r w:rsidR="004C6FB1">
        <w:t xml:space="preserve"> Irakin tasavalta 2025 (laki nro 1, joka muuttaa 188/1959 lakia</w:t>
      </w:r>
      <w:r w:rsidR="003C2007">
        <w:t>)</w:t>
      </w:r>
      <w:r w:rsidR="004C6FB1">
        <w:t>.</w:t>
      </w:r>
    </w:p>
  </w:footnote>
  <w:footnote w:id="3">
    <w:p w14:paraId="6C373ADF" w14:textId="003579B5" w:rsidR="00CE5E36" w:rsidRPr="009B5B7B" w:rsidRDefault="00CE5E36" w:rsidP="00CE5E36">
      <w:pPr>
        <w:pStyle w:val="Alaviitteenteksti"/>
      </w:pPr>
      <w:r>
        <w:rPr>
          <w:rStyle w:val="Alaviitteenviite"/>
        </w:rPr>
        <w:footnoteRef/>
      </w:r>
      <w:r w:rsidRPr="009B5B7B">
        <w:t xml:space="preserve"> Heinrich Böll Stiftung / Edwar, Hanaa’ &amp; Al-Moussawi Salem 3.3.2014</w:t>
      </w:r>
      <w:r w:rsidR="00BA7EC3" w:rsidRPr="009B5B7B">
        <w:t>; Al-Dabbagh 2026, s. 382.</w:t>
      </w:r>
    </w:p>
  </w:footnote>
  <w:footnote w:id="4">
    <w:p w14:paraId="1DDA6829" w14:textId="77777777" w:rsidR="00CE5E36" w:rsidRPr="00BE0F90" w:rsidRDefault="00CE5E36" w:rsidP="00CE5E36">
      <w:pPr>
        <w:pStyle w:val="Alaviitteenteksti"/>
      </w:pPr>
      <w:r>
        <w:rPr>
          <w:rStyle w:val="Alaviitteenviite"/>
        </w:rPr>
        <w:footnoteRef/>
      </w:r>
      <w:r w:rsidRPr="00BE0F90">
        <w:t xml:space="preserve"> Carnegie Endowment for International Peace / Allam, Nermin &amp; Al Qaraghuli, Baneen 5.11.2025.</w:t>
      </w:r>
    </w:p>
  </w:footnote>
  <w:footnote w:id="5">
    <w:p w14:paraId="5EDABD24" w14:textId="6D62EE10" w:rsidR="00CE5E36" w:rsidRDefault="00CE5E36" w:rsidP="00CE5E36">
      <w:pPr>
        <w:pStyle w:val="Alaviitteenteksti"/>
      </w:pPr>
      <w:r>
        <w:rPr>
          <w:rStyle w:val="Alaviitteenviite"/>
        </w:rPr>
        <w:footnoteRef/>
      </w:r>
      <w:r>
        <w:t xml:space="preserve"> </w:t>
      </w:r>
      <w:r w:rsidR="005C4F16">
        <w:t>Henkilöoikeudellista asemaa säätävän lain (</w:t>
      </w:r>
      <w:r w:rsidR="005A5E7D">
        <w:t>nro</w:t>
      </w:r>
      <w:r w:rsidR="005C4F16">
        <w:t xml:space="preserve"> 188) luvussa 8 säädetään testamentin jättämisestä ja toimeenpanemisesta ja huoltajuuden päättymisestä. Luvussa 9 säädetään perimisestä. Vuoden 2025 ja’fari-säännöskokoelmassa testamenttiasioista säädetään luvussa 3 ja perimistä käsitellään luvussa 4.</w:t>
      </w:r>
      <w:r w:rsidR="005C4F16" w:rsidRPr="005C4F16">
        <w:t xml:space="preserve"> </w:t>
      </w:r>
      <w:r w:rsidR="0081058E">
        <w:t>Irakin tasavalta 1959, laki n</w:t>
      </w:r>
      <w:r w:rsidR="005A5E7D">
        <w:t>ro</w:t>
      </w:r>
      <w:r w:rsidR="0081058E">
        <w:t xml:space="preserve"> 188</w:t>
      </w:r>
      <w:r w:rsidR="00ED7DF2">
        <w:t>,</w:t>
      </w:r>
      <w:r w:rsidR="0081058E">
        <w:t xml:space="preserve"> luvut 8, 9; </w:t>
      </w:r>
      <w:r>
        <w:t>Irakin oikeusministeriön julkaisu 4843, päätös 10/2025</w:t>
      </w:r>
      <w:r w:rsidR="00C73134">
        <w:t>, luvut 3 ja 4.</w:t>
      </w:r>
    </w:p>
  </w:footnote>
  <w:footnote w:id="6">
    <w:p w14:paraId="0896FC87" w14:textId="77777777" w:rsidR="00CE5E36" w:rsidRDefault="00CE5E36" w:rsidP="00CE5E36">
      <w:pPr>
        <w:pStyle w:val="Alaviitteenteksti"/>
      </w:pPr>
      <w:r>
        <w:rPr>
          <w:rStyle w:val="Alaviitteenviite"/>
        </w:rPr>
        <w:footnoteRef/>
      </w:r>
      <w:r>
        <w:t xml:space="preserve"> Elias, Benin </w:t>
      </w:r>
      <w:r w:rsidRPr="008C5BD4">
        <w:t>/ Nirij 10.11.2024.</w:t>
      </w:r>
    </w:p>
  </w:footnote>
  <w:footnote w:id="7">
    <w:p w14:paraId="2362707B" w14:textId="77777777" w:rsidR="00CE5E36" w:rsidRPr="007B1588" w:rsidRDefault="00CE5E36" w:rsidP="00CE5E36">
      <w:pPr>
        <w:pStyle w:val="Alaviitteenteksti"/>
      </w:pPr>
      <w:r>
        <w:rPr>
          <w:rStyle w:val="Alaviitteenviite"/>
        </w:rPr>
        <w:footnoteRef/>
      </w:r>
      <w:r w:rsidRPr="007B1588">
        <w:t xml:space="preserve"> Heinrich Böll Stiftung / Edwar, Hanaa’ &amp; Al-Moussawi Salem 3.3.2014; Lafta, Kahlan 2025, s. 7.</w:t>
      </w:r>
    </w:p>
  </w:footnote>
  <w:footnote w:id="8">
    <w:p w14:paraId="1BFA82F4" w14:textId="77777777" w:rsidR="00CE5E36" w:rsidRDefault="00CE5E36" w:rsidP="00CE5E36">
      <w:pPr>
        <w:pStyle w:val="Alaviitteenteksti"/>
      </w:pPr>
      <w:r>
        <w:rPr>
          <w:rStyle w:val="Alaviitteenviite"/>
        </w:rPr>
        <w:footnoteRef/>
      </w:r>
      <w:r>
        <w:t xml:space="preserve"> Käytäntö koskee irakilaisia vähemmistöuskontoja, jotka ovat virallisesti tunnustettu. Näihin kuuluu 14 kristittyä kirkkoa, jesidiläisyys, juutalaisuus ja mandealaisuus. Al-Dabbagh 2026, s. 375.</w:t>
      </w:r>
    </w:p>
  </w:footnote>
  <w:footnote w:id="9">
    <w:p w14:paraId="747E8D06" w14:textId="77777777" w:rsidR="00CE5E36" w:rsidRDefault="00CE5E36" w:rsidP="00CE5E36">
      <w:pPr>
        <w:pStyle w:val="Alaviitteenteksti"/>
      </w:pPr>
      <w:r>
        <w:rPr>
          <w:rStyle w:val="Alaviitteenviite"/>
        </w:rPr>
        <w:footnoteRef/>
      </w:r>
      <w:r>
        <w:t xml:space="preserve"> Al-Dabbagh 2026, s. 380. Lähteen mukaan esimerkiksi syyrialaiskatolilaisella kirkkokunnalla ei ole omaa säännöstöä perinnönjakoon liittyen, jolloin siis sovellettaisiin vuoden 1959 henkilöoikeudellisesta asemasta säätävä lakia.</w:t>
      </w:r>
    </w:p>
  </w:footnote>
  <w:footnote w:id="10">
    <w:p w14:paraId="35F51CD6" w14:textId="77777777" w:rsidR="00CE5E36" w:rsidRPr="0058004C" w:rsidRDefault="00CE5E36" w:rsidP="00CE5E36">
      <w:pPr>
        <w:pStyle w:val="Alaviitteenteksti"/>
      </w:pPr>
      <w:r>
        <w:rPr>
          <w:rStyle w:val="Alaviitteenviite"/>
        </w:rPr>
        <w:footnoteRef/>
      </w:r>
      <w:r w:rsidRPr="0058004C">
        <w:t xml:space="preserve"> Al-Dabbagh 2026, s. 382; Elias, Benin / Nirij 10.11.2024.</w:t>
      </w:r>
    </w:p>
  </w:footnote>
  <w:footnote w:id="11">
    <w:p w14:paraId="176008C0" w14:textId="77777777" w:rsidR="00CE5E36" w:rsidRPr="0058004C" w:rsidRDefault="00CE5E36" w:rsidP="00CE5E36">
      <w:pPr>
        <w:pStyle w:val="Alaviitteenteksti"/>
      </w:pPr>
      <w:r>
        <w:rPr>
          <w:rStyle w:val="Alaviitteenviite"/>
        </w:rPr>
        <w:footnoteRef/>
      </w:r>
      <w:r w:rsidRPr="0058004C">
        <w:t xml:space="preserve"> Al-Dabbagh 2026, s. 382.</w:t>
      </w:r>
    </w:p>
  </w:footnote>
  <w:footnote w:id="12">
    <w:p w14:paraId="4D34B2AE" w14:textId="77777777" w:rsidR="000E1475" w:rsidRPr="00921A4D" w:rsidRDefault="000E1475" w:rsidP="000E1475">
      <w:pPr>
        <w:pStyle w:val="Alaviitteenteksti"/>
      </w:pPr>
      <w:r>
        <w:rPr>
          <w:rStyle w:val="Alaviitteenviite"/>
        </w:rPr>
        <w:footnoteRef/>
      </w:r>
      <w:r w:rsidRPr="00921A4D">
        <w:t xml:space="preserve"> Irakin </w:t>
      </w:r>
      <w:r>
        <w:t>tasavalta</w:t>
      </w:r>
      <w:r w:rsidRPr="00921A4D">
        <w:t xml:space="preserve"> 2005,</w:t>
      </w:r>
      <w:r>
        <w:t xml:space="preserve"> perustuslain</w:t>
      </w:r>
      <w:r w:rsidRPr="00921A4D">
        <w:t xml:space="preserve"> artikla 41.</w:t>
      </w:r>
    </w:p>
  </w:footnote>
  <w:footnote w:id="13">
    <w:p w14:paraId="79B792A0" w14:textId="77777777" w:rsidR="000E1475" w:rsidRDefault="000E1475" w:rsidP="000E1475">
      <w:pPr>
        <w:pStyle w:val="Alaviitteenteksti"/>
      </w:pPr>
      <w:r>
        <w:rPr>
          <w:rStyle w:val="Alaviitteenviite"/>
        </w:rPr>
        <w:footnoteRef/>
      </w:r>
      <w:r>
        <w:t xml:space="preserve"> Irakin oikeusministeriön julkaisu 4843, päätös 10/2025.</w:t>
      </w:r>
    </w:p>
  </w:footnote>
  <w:footnote w:id="14">
    <w:p w14:paraId="12810707" w14:textId="77777777" w:rsidR="000E1475" w:rsidRPr="00921A4D" w:rsidRDefault="000E1475" w:rsidP="000E1475">
      <w:pPr>
        <w:pStyle w:val="Alaviitteenteksti"/>
      </w:pPr>
      <w:r>
        <w:rPr>
          <w:rStyle w:val="Alaviitteenviite"/>
        </w:rPr>
        <w:footnoteRef/>
      </w:r>
      <w:r w:rsidRPr="00921A4D">
        <w:t xml:space="preserve"> Carnegie Endowment for International Peace / Allam, Nermin &amp; Al Qaraghuli, Baneen 5.11.2025.</w:t>
      </w:r>
    </w:p>
  </w:footnote>
  <w:footnote w:id="15">
    <w:p w14:paraId="7AF7579A" w14:textId="78B714D4" w:rsidR="000E1475" w:rsidRPr="008D40B2" w:rsidRDefault="000E1475" w:rsidP="000E1475">
      <w:pPr>
        <w:pStyle w:val="Alaviitteenteksti"/>
        <w:rPr>
          <w:lang w:val="en-US"/>
        </w:rPr>
      </w:pPr>
      <w:r>
        <w:rPr>
          <w:rStyle w:val="Alaviitteenviite"/>
        </w:rPr>
        <w:footnoteRef/>
      </w:r>
      <w:r w:rsidRPr="008D40B2">
        <w:rPr>
          <w:lang w:val="en-US"/>
        </w:rPr>
        <w:t xml:space="preserve"> </w:t>
      </w:r>
      <w:r w:rsidR="00E0214D">
        <w:rPr>
          <w:lang w:val="en-US"/>
        </w:rPr>
        <w:t xml:space="preserve">Ks. esim. </w:t>
      </w:r>
      <w:r w:rsidRPr="008D40B2">
        <w:rPr>
          <w:lang w:val="en-US"/>
        </w:rPr>
        <w:t>Human Rights Watch 15.10.2025</w:t>
      </w:r>
      <w:r w:rsidR="00E0214D">
        <w:rPr>
          <w:lang w:val="en-US"/>
        </w:rPr>
        <w:t xml:space="preserve">; </w:t>
      </w:r>
      <w:r w:rsidR="00E0214D" w:rsidRPr="00D130BC">
        <w:rPr>
          <w:lang w:val="en-US"/>
        </w:rPr>
        <w:t>Equality Now 6.2.2026</w:t>
      </w:r>
      <w:r w:rsidR="002C706B">
        <w:rPr>
          <w:lang w:val="en-US"/>
        </w:rPr>
        <w:t>.</w:t>
      </w:r>
    </w:p>
  </w:footnote>
  <w:footnote w:id="16">
    <w:p w14:paraId="7DE8BAC2" w14:textId="77777777" w:rsidR="000E1475" w:rsidRPr="008D40B2" w:rsidRDefault="000E1475" w:rsidP="000E1475">
      <w:pPr>
        <w:pStyle w:val="Alaviitteenteksti"/>
        <w:rPr>
          <w:lang w:val="en-US"/>
        </w:rPr>
      </w:pPr>
      <w:r>
        <w:rPr>
          <w:rStyle w:val="Alaviitteenviite"/>
        </w:rPr>
        <w:footnoteRef/>
      </w:r>
      <w:r w:rsidRPr="008D40B2">
        <w:rPr>
          <w:lang w:val="en-US"/>
        </w:rPr>
        <w:t xml:space="preserve"> Human Rights Watch 10.3.2025. </w:t>
      </w:r>
    </w:p>
  </w:footnote>
  <w:footnote w:id="17">
    <w:p w14:paraId="6451A294" w14:textId="77777777" w:rsidR="000E1475" w:rsidRPr="001411FC" w:rsidRDefault="000E1475" w:rsidP="000E1475">
      <w:pPr>
        <w:pStyle w:val="Alaviitteenteksti"/>
        <w:rPr>
          <w:lang w:val="en-US"/>
        </w:rPr>
      </w:pPr>
      <w:r>
        <w:rPr>
          <w:rStyle w:val="Alaviitteenviite"/>
        </w:rPr>
        <w:footnoteRef/>
      </w:r>
      <w:r w:rsidRPr="001411FC">
        <w:rPr>
          <w:lang w:val="en-US"/>
        </w:rPr>
        <w:t xml:space="preserve"> Martini, Lorena / The Square 12.3.202</w:t>
      </w:r>
      <w:r>
        <w:rPr>
          <w:lang w:val="en-US"/>
        </w:rPr>
        <w:t xml:space="preserve">5; </w:t>
      </w:r>
      <w:r w:rsidRPr="006B2E0E">
        <w:rPr>
          <w:lang w:val="en-US"/>
        </w:rPr>
        <w:t>Human Righ</w:t>
      </w:r>
      <w:r>
        <w:rPr>
          <w:lang w:val="en-US"/>
        </w:rPr>
        <w:t>ts Watch 15.10.2025.</w:t>
      </w:r>
    </w:p>
  </w:footnote>
  <w:footnote w:id="18">
    <w:p w14:paraId="2AD6FC95" w14:textId="77777777" w:rsidR="000E1475" w:rsidRPr="006B2E0E" w:rsidRDefault="000E1475" w:rsidP="000E1475">
      <w:pPr>
        <w:pStyle w:val="Alaviitteenteksti"/>
        <w:rPr>
          <w:lang w:val="en-US"/>
        </w:rPr>
      </w:pPr>
      <w:r>
        <w:rPr>
          <w:rStyle w:val="Alaviitteenviite"/>
        </w:rPr>
        <w:footnoteRef/>
      </w:r>
      <w:r w:rsidRPr="006B2E0E">
        <w:rPr>
          <w:lang w:val="en-US"/>
        </w:rPr>
        <w:t xml:space="preserve"> Human Righ</w:t>
      </w:r>
      <w:r>
        <w:rPr>
          <w:lang w:val="en-US"/>
        </w:rPr>
        <w:t>ts Watch 15.10.2025.</w:t>
      </w:r>
    </w:p>
  </w:footnote>
  <w:footnote w:id="19">
    <w:p w14:paraId="14A49A6D" w14:textId="77777777" w:rsidR="000E1475" w:rsidRPr="001411FC" w:rsidRDefault="000E1475" w:rsidP="000E1475">
      <w:pPr>
        <w:pStyle w:val="Alaviitteenteksti"/>
        <w:rPr>
          <w:lang w:val="en-US"/>
        </w:rPr>
      </w:pPr>
      <w:r>
        <w:rPr>
          <w:rStyle w:val="Alaviitteenviite"/>
        </w:rPr>
        <w:footnoteRef/>
      </w:r>
      <w:r w:rsidRPr="001411FC">
        <w:rPr>
          <w:lang w:val="en-US"/>
        </w:rPr>
        <w:t xml:space="preserve"> International Idea [päiväämätön]; Martini, Lorena / The Square 12.3.2025.</w:t>
      </w:r>
    </w:p>
  </w:footnote>
  <w:footnote w:id="20">
    <w:p w14:paraId="247C5A46" w14:textId="3D33C55C" w:rsidR="0041494B" w:rsidRPr="00BD4AAB" w:rsidRDefault="0041494B">
      <w:pPr>
        <w:pStyle w:val="Alaviitteenteksti"/>
        <w:rPr>
          <w:lang w:val="en-US"/>
        </w:rPr>
      </w:pPr>
      <w:r>
        <w:rPr>
          <w:rStyle w:val="Alaviitteenviite"/>
        </w:rPr>
        <w:footnoteRef/>
      </w:r>
      <w:r w:rsidRPr="00BD4AAB">
        <w:rPr>
          <w:lang w:val="en-US"/>
        </w:rPr>
        <w:t xml:space="preserve"> Equality Now</w:t>
      </w:r>
      <w:r w:rsidR="000B7953" w:rsidRPr="00BD4AAB">
        <w:rPr>
          <w:lang w:val="en-US"/>
        </w:rPr>
        <w:t xml:space="preserve"> 6.2.2026.</w:t>
      </w:r>
    </w:p>
  </w:footnote>
  <w:footnote w:id="21">
    <w:p w14:paraId="09C50737" w14:textId="77777777" w:rsidR="000E1475" w:rsidRPr="00767A9D" w:rsidRDefault="000E1475" w:rsidP="000E1475">
      <w:pPr>
        <w:pStyle w:val="Alaviitteenteksti"/>
        <w:rPr>
          <w:lang w:val="en-US"/>
        </w:rPr>
      </w:pPr>
      <w:r>
        <w:rPr>
          <w:rStyle w:val="Alaviitteenviite"/>
        </w:rPr>
        <w:footnoteRef/>
      </w:r>
      <w:r w:rsidRPr="00767A9D">
        <w:rPr>
          <w:lang w:val="en-US"/>
        </w:rPr>
        <w:t xml:space="preserve"> Ks. esim. Human Rights Watch 1</w:t>
      </w:r>
      <w:r>
        <w:rPr>
          <w:lang w:val="en-US"/>
        </w:rPr>
        <w:t>5.10.2025; Kurdistan24 13.10.2025.</w:t>
      </w:r>
    </w:p>
  </w:footnote>
  <w:footnote w:id="22">
    <w:p w14:paraId="70038691" w14:textId="7FFC86EA" w:rsidR="00946073" w:rsidRDefault="00946073">
      <w:pPr>
        <w:pStyle w:val="Alaviitteenteksti"/>
      </w:pPr>
      <w:r>
        <w:rPr>
          <w:rStyle w:val="Alaviitteenviite"/>
        </w:rPr>
        <w:footnoteRef/>
      </w:r>
      <w:r>
        <w:t xml:space="preserve"> Alkhafagy et al. 2023, s. 69.</w:t>
      </w:r>
    </w:p>
  </w:footnote>
  <w:footnote w:id="23">
    <w:p w14:paraId="24C3AED4" w14:textId="5A663643" w:rsidR="006E1E84" w:rsidRDefault="006E1E84">
      <w:pPr>
        <w:pStyle w:val="Alaviitteenteksti"/>
      </w:pPr>
      <w:r>
        <w:rPr>
          <w:rStyle w:val="Alaviitteenviite"/>
        </w:rPr>
        <w:footnoteRef/>
      </w:r>
      <w:r w:rsidR="00946073">
        <w:t xml:space="preserve"> </w:t>
      </w:r>
      <w:r>
        <w:t>Irakin henkilöoikeudellisesta asemasta säätävän lain artiklassa 70 sanotaan, että testamentata voi korkeintaan kolmanneksen omaisuudesta ilman perillisten lupaa.</w:t>
      </w:r>
    </w:p>
  </w:footnote>
  <w:footnote w:id="24">
    <w:p w14:paraId="2135436C" w14:textId="330FA0BF" w:rsidR="00C73134" w:rsidRPr="006E1E84" w:rsidRDefault="00C73134" w:rsidP="00C73134">
      <w:pPr>
        <w:pStyle w:val="Alaviitteenteksti"/>
      </w:pPr>
      <w:r>
        <w:rPr>
          <w:rStyle w:val="Alaviitteenviite"/>
        </w:rPr>
        <w:footnoteRef/>
      </w:r>
      <w:r w:rsidRPr="006E1E84">
        <w:t xml:space="preserve"> Musawah 31.7.2017</w:t>
      </w:r>
      <w:r w:rsidR="00395CF3" w:rsidRPr="006E1E84">
        <w:t>; Jummar 5.1.2025.</w:t>
      </w:r>
    </w:p>
  </w:footnote>
  <w:footnote w:id="25">
    <w:p w14:paraId="13684254" w14:textId="5B7EBACE" w:rsidR="00C73134" w:rsidRPr="00674BA9" w:rsidRDefault="00C73134" w:rsidP="00C73134">
      <w:pPr>
        <w:pStyle w:val="Alaviitteenteksti"/>
      </w:pPr>
      <w:r>
        <w:rPr>
          <w:rStyle w:val="Alaviitteenviite"/>
        </w:rPr>
        <w:footnoteRef/>
      </w:r>
      <w:r w:rsidRPr="00674BA9">
        <w:t xml:space="preserve"> </w:t>
      </w:r>
      <w:r w:rsidR="00674BA9">
        <w:t>Irakin tasavalta 1959, laki n</w:t>
      </w:r>
      <w:r w:rsidR="00225293">
        <w:t>ro</w:t>
      </w:r>
      <w:r w:rsidR="008030C9">
        <w:t xml:space="preserve"> </w:t>
      </w:r>
      <w:r w:rsidR="00674BA9">
        <w:t>188, artikla 91.</w:t>
      </w:r>
    </w:p>
  </w:footnote>
  <w:footnote w:id="26">
    <w:p w14:paraId="18CC7610" w14:textId="408C047D" w:rsidR="00882855" w:rsidRDefault="00882855">
      <w:pPr>
        <w:pStyle w:val="Alaviitteenteksti"/>
      </w:pPr>
      <w:r>
        <w:rPr>
          <w:rStyle w:val="Alaviitteenviite"/>
        </w:rPr>
        <w:footnoteRef/>
      </w:r>
      <w:r>
        <w:t xml:space="preserve"> Irakin tasavalta 1959, laki n</w:t>
      </w:r>
      <w:r w:rsidR="00225293">
        <w:t>ro</w:t>
      </w:r>
      <w:r>
        <w:t xml:space="preserve"> 188, artikla 91.</w:t>
      </w:r>
    </w:p>
  </w:footnote>
  <w:footnote w:id="27">
    <w:p w14:paraId="21C55DEB" w14:textId="77777777" w:rsidR="00C73134" w:rsidRPr="008D40B2" w:rsidRDefault="00C73134" w:rsidP="00C73134">
      <w:pPr>
        <w:pStyle w:val="Alaviitteenteksti"/>
        <w:rPr>
          <w:lang w:val="en-US"/>
        </w:rPr>
      </w:pPr>
      <w:r>
        <w:rPr>
          <w:rStyle w:val="Alaviitteenviite"/>
        </w:rPr>
        <w:footnoteRef/>
      </w:r>
      <w:r w:rsidRPr="008D40B2">
        <w:rPr>
          <w:lang w:val="en-US"/>
        </w:rPr>
        <w:t xml:space="preserve"> Al-Ghanim Lawfirm 25.4.2026.</w:t>
      </w:r>
    </w:p>
  </w:footnote>
  <w:footnote w:id="28">
    <w:p w14:paraId="2BB0CC33" w14:textId="77777777" w:rsidR="00C73134" w:rsidRPr="009B6954" w:rsidRDefault="00C73134" w:rsidP="00C73134">
      <w:pPr>
        <w:pStyle w:val="Alaviitteenteksti"/>
        <w:rPr>
          <w:lang w:val="en-US"/>
        </w:rPr>
      </w:pPr>
      <w:r>
        <w:rPr>
          <w:rStyle w:val="Alaviitteenviite"/>
        </w:rPr>
        <w:footnoteRef/>
      </w:r>
      <w:r w:rsidRPr="009B6954">
        <w:rPr>
          <w:lang w:val="en-US"/>
        </w:rPr>
        <w:t xml:space="preserve"> </w:t>
      </w:r>
      <w:r w:rsidRPr="00997836">
        <w:rPr>
          <w:lang w:val="en-US"/>
        </w:rPr>
        <w:t>Al-Ghanim Lawfirm 25.4.20</w:t>
      </w:r>
      <w:r>
        <w:rPr>
          <w:lang w:val="en-US"/>
        </w:rPr>
        <w:t>26.</w:t>
      </w:r>
    </w:p>
  </w:footnote>
  <w:footnote w:id="29">
    <w:p w14:paraId="00CD77D5" w14:textId="2C42448D" w:rsidR="00CE5E36" w:rsidRPr="00FF3569" w:rsidRDefault="00CE5E36" w:rsidP="00CE5E36">
      <w:pPr>
        <w:pStyle w:val="Alaviitteenteksti"/>
        <w:rPr>
          <w:lang w:val="en-US"/>
        </w:rPr>
      </w:pPr>
      <w:r>
        <w:rPr>
          <w:rStyle w:val="Alaviitteenviite"/>
        </w:rPr>
        <w:footnoteRef/>
      </w:r>
      <w:r w:rsidRPr="00FF3569">
        <w:rPr>
          <w:lang w:val="en-US"/>
        </w:rPr>
        <w:t xml:space="preserve"> </w:t>
      </w:r>
      <w:r w:rsidR="00313687">
        <w:rPr>
          <w:lang w:val="en-US"/>
        </w:rPr>
        <w:t xml:space="preserve">Musawah 31.7.2017; </w:t>
      </w:r>
      <w:r w:rsidR="00313687" w:rsidRPr="008D40B2">
        <w:rPr>
          <w:lang w:val="en-US"/>
        </w:rPr>
        <w:t>Jummar 5.1.2025.</w:t>
      </w:r>
    </w:p>
  </w:footnote>
  <w:footnote w:id="30">
    <w:p w14:paraId="657AE04C" w14:textId="77777777" w:rsidR="00CE5E36" w:rsidRPr="00C30DE0" w:rsidRDefault="00CE5E36" w:rsidP="00CE5E36">
      <w:pPr>
        <w:pStyle w:val="Alaviitteenteksti"/>
        <w:rPr>
          <w:lang w:val="en-US"/>
        </w:rPr>
      </w:pPr>
      <w:r>
        <w:rPr>
          <w:rStyle w:val="Alaviitteenviite"/>
        </w:rPr>
        <w:footnoteRef/>
      </w:r>
      <w:r w:rsidRPr="00C30DE0">
        <w:rPr>
          <w:lang w:val="en-US"/>
        </w:rPr>
        <w:t xml:space="preserve"> Elias, Benin / Nirij 10.11.2024</w:t>
      </w:r>
    </w:p>
  </w:footnote>
  <w:footnote w:id="31">
    <w:p w14:paraId="35FBAD1C" w14:textId="77777777" w:rsidR="00CE5E36" w:rsidRPr="0034189C" w:rsidRDefault="00CE5E36" w:rsidP="00CE5E36">
      <w:pPr>
        <w:pStyle w:val="Alaviitteenteksti"/>
        <w:rPr>
          <w:lang w:val="en-US"/>
        </w:rPr>
      </w:pPr>
      <w:r>
        <w:rPr>
          <w:rStyle w:val="Alaviitteenviite"/>
        </w:rPr>
        <w:footnoteRef/>
      </w:r>
      <w:r w:rsidRPr="00C30DE0">
        <w:rPr>
          <w:lang w:val="en-US"/>
        </w:rPr>
        <w:t xml:space="preserve"> Elias, Benin / Nirij 10.11.2024; Naeem, Nashwa / Jummar 5.1.2025; Al-Marsoumi, Nur / Jinhagency 5.9.2023</w:t>
      </w:r>
      <w:r>
        <w:rPr>
          <w:lang w:val="en-US"/>
        </w:rPr>
        <w:t xml:space="preserve">; </w:t>
      </w:r>
      <w:r w:rsidRPr="0034189C">
        <w:rPr>
          <w:lang w:val="en-US"/>
        </w:rPr>
        <w:t>Alnaisani, Wasan &amp; Romera, Magdalena 2025, s. 325.</w:t>
      </w:r>
    </w:p>
  </w:footnote>
  <w:footnote w:id="32">
    <w:p w14:paraId="132CE6E3" w14:textId="77777777" w:rsidR="00CE5E36" w:rsidRPr="00CE5E36" w:rsidRDefault="00CE5E36" w:rsidP="00CE5E36">
      <w:pPr>
        <w:pStyle w:val="Alaviitteenteksti"/>
      </w:pPr>
      <w:r>
        <w:rPr>
          <w:rStyle w:val="Alaviitteenviite"/>
        </w:rPr>
        <w:footnoteRef/>
      </w:r>
      <w:r w:rsidRPr="00CE5E36">
        <w:t xml:space="preserve"> Elias, Benin / Nirij 10.11.2024; Naeem, Nashwa / Jummar 5.1.2025.</w:t>
      </w:r>
    </w:p>
  </w:footnote>
  <w:footnote w:id="33">
    <w:p w14:paraId="3CA25287" w14:textId="77777777" w:rsidR="00CE5E36" w:rsidRPr="00A43DBE" w:rsidRDefault="00CE5E36" w:rsidP="00CE5E36">
      <w:pPr>
        <w:pStyle w:val="Alaviitteenteksti"/>
        <w:rPr>
          <w:lang w:val="en-US"/>
        </w:rPr>
      </w:pPr>
      <w:r>
        <w:rPr>
          <w:rStyle w:val="Alaviitteenviite"/>
        </w:rPr>
        <w:footnoteRef/>
      </w:r>
      <w:r w:rsidRPr="00A43DBE">
        <w:rPr>
          <w:lang w:val="en-US"/>
        </w:rPr>
        <w:t xml:space="preserve"> Elias, Benin / Nirij 10.11.2024; Shafaq News 29.11.2022.</w:t>
      </w:r>
    </w:p>
  </w:footnote>
  <w:footnote w:id="34">
    <w:p w14:paraId="3A44EA7F" w14:textId="5DE9C043" w:rsidR="00CE5E36" w:rsidRPr="00BE0F90" w:rsidRDefault="00CE5E36" w:rsidP="00CE5E36">
      <w:pPr>
        <w:pStyle w:val="Alaviitteenteksti"/>
        <w:rPr>
          <w:lang w:val="en-US"/>
        </w:rPr>
      </w:pPr>
      <w:r>
        <w:rPr>
          <w:rStyle w:val="Alaviitteenviite"/>
        </w:rPr>
        <w:footnoteRef/>
      </w:r>
      <w:r w:rsidRPr="00BE0F90">
        <w:rPr>
          <w:lang w:val="en-US"/>
        </w:rPr>
        <w:t xml:space="preserve"> </w:t>
      </w:r>
      <w:r w:rsidR="0049569D" w:rsidRPr="00BE0F90">
        <w:rPr>
          <w:lang w:val="en-US"/>
        </w:rPr>
        <w:t>Elias, Benin</w:t>
      </w:r>
      <w:r w:rsidRPr="00BE0F90">
        <w:rPr>
          <w:lang w:val="en-US"/>
        </w:rPr>
        <w:t xml:space="preserve"> / Nirij 10.11.2024.</w:t>
      </w:r>
    </w:p>
  </w:footnote>
  <w:footnote w:id="35">
    <w:p w14:paraId="00E4E1BB" w14:textId="77777777" w:rsidR="00CE5E36" w:rsidRPr="00BE0F90" w:rsidRDefault="00CE5E36" w:rsidP="00CE5E36">
      <w:pPr>
        <w:pStyle w:val="Alaviitteenteksti"/>
        <w:rPr>
          <w:lang w:val="en-US"/>
        </w:rPr>
      </w:pPr>
      <w:r>
        <w:rPr>
          <w:rStyle w:val="Alaviitteenviite"/>
        </w:rPr>
        <w:footnoteRef/>
      </w:r>
      <w:r w:rsidRPr="00BE0F90">
        <w:rPr>
          <w:lang w:val="en-US"/>
        </w:rPr>
        <w:t xml:space="preserve"> Shafaq News 29.11.2022.</w:t>
      </w:r>
    </w:p>
  </w:footnote>
  <w:footnote w:id="36">
    <w:p w14:paraId="67B4835F" w14:textId="77777777" w:rsidR="00CE5E36" w:rsidRPr="00C30DE0" w:rsidRDefault="00CE5E36" w:rsidP="00CE5E36">
      <w:pPr>
        <w:pStyle w:val="Alaviitteenteksti"/>
      </w:pPr>
      <w:r>
        <w:rPr>
          <w:rStyle w:val="Alaviitteenviite"/>
        </w:rPr>
        <w:footnoteRef/>
      </w:r>
      <w:r w:rsidRPr="00C30DE0">
        <w:t xml:space="preserve"> Alnaisani, Wasan &amp; Romera, Magdalena 2025, s. 325.</w:t>
      </w:r>
    </w:p>
  </w:footnote>
  <w:footnote w:id="37">
    <w:p w14:paraId="1320B572" w14:textId="77777777" w:rsidR="00CE5E36" w:rsidRDefault="00CE5E36" w:rsidP="00CE5E36">
      <w:pPr>
        <w:pStyle w:val="Alaviitteenteksti"/>
      </w:pPr>
      <w:r>
        <w:rPr>
          <w:rStyle w:val="Alaviitteenviite"/>
        </w:rPr>
        <w:footnoteRef/>
      </w:r>
      <w:r>
        <w:t xml:space="preserve"> </w:t>
      </w:r>
      <w:r w:rsidRPr="008C5BD4">
        <w:t>Benin Elias / Nirij 10.11.2024.</w:t>
      </w:r>
    </w:p>
  </w:footnote>
  <w:footnote w:id="38">
    <w:p w14:paraId="68DDA4DD" w14:textId="03101F74" w:rsidR="00CE5E36" w:rsidRPr="00A43DBE" w:rsidRDefault="00CE5E36" w:rsidP="00CE5E36">
      <w:pPr>
        <w:pStyle w:val="Alaviitteenteksti"/>
      </w:pPr>
      <w:r>
        <w:rPr>
          <w:rStyle w:val="Alaviitteenviite"/>
        </w:rPr>
        <w:footnoteRef/>
      </w:r>
      <w:r w:rsidRPr="00A43DBE">
        <w:t xml:space="preserve"> </w:t>
      </w:r>
      <w:r w:rsidR="00A07647" w:rsidRPr="008D40B2">
        <w:t>Elias, Benin / Nirij 10.11.2024.</w:t>
      </w:r>
    </w:p>
  </w:footnote>
  <w:footnote w:id="39">
    <w:p w14:paraId="1A0A92F2" w14:textId="77777777" w:rsidR="00CE5E36" w:rsidRPr="00BE0F90" w:rsidRDefault="00CE5E36" w:rsidP="00CE5E36">
      <w:pPr>
        <w:pStyle w:val="Alaviitteenteksti"/>
      </w:pPr>
      <w:r>
        <w:rPr>
          <w:rStyle w:val="Alaviitteenviite"/>
        </w:rPr>
        <w:footnoteRef/>
      </w:r>
      <w:r w:rsidRPr="00BE0F90">
        <w:t xml:space="preserve"> Elias, Benin / Nirij 10.11.2024; Al-Marsoumi, Nur / Jinhagency 5.9.2023; Shafaq News 29.11.2022.</w:t>
      </w:r>
    </w:p>
  </w:footnote>
  <w:footnote w:id="40">
    <w:p w14:paraId="22B40D88" w14:textId="77777777" w:rsidR="00CE5E36" w:rsidRPr="008C5BD4" w:rsidRDefault="00CE5E36" w:rsidP="00CE5E36">
      <w:pPr>
        <w:pStyle w:val="Alaviitteenteksti"/>
      </w:pPr>
      <w:r>
        <w:rPr>
          <w:rStyle w:val="Alaviitteenviite"/>
        </w:rPr>
        <w:footnoteRef/>
      </w:r>
      <w:r w:rsidRPr="008C5BD4">
        <w:t xml:space="preserve"> </w:t>
      </w:r>
      <w:r>
        <w:t>Elias, Benin</w:t>
      </w:r>
      <w:r w:rsidRPr="008C5BD4">
        <w:t xml:space="preserve"> / Nirij 10.11.2024.</w:t>
      </w:r>
    </w:p>
  </w:footnote>
  <w:footnote w:id="41">
    <w:p w14:paraId="7077D60C" w14:textId="77777777" w:rsidR="00CE5E36" w:rsidRDefault="00CE5E36" w:rsidP="00CE5E36">
      <w:pPr>
        <w:pStyle w:val="Alaviitteenteksti"/>
      </w:pPr>
      <w:r>
        <w:rPr>
          <w:rStyle w:val="Alaviitteenviite"/>
        </w:rPr>
        <w:footnoteRef/>
      </w:r>
      <w:r>
        <w:t xml:space="preserve"> Elias, Benin</w:t>
      </w:r>
      <w:r w:rsidRPr="008C5BD4">
        <w:t xml:space="preserve"> / Nirij 10.11.2024.</w:t>
      </w:r>
    </w:p>
  </w:footnote>
  <w:footnote w:id="42">
    <w:p w14:paraId="405B7AAD" w14:textId="77777777" w:rsidR="00CE5E36" w:rsidRPr="007A2D5F" w:rsidRDefault="00CE5E36" w:rsidP="00CE5E36">
      <w:pPr>
        <w:pStyle w:val="Alaviitteenteksti"/>
        <w:rPr>
          <w:lang w:val="en-US"/>
        </w:rPr>
      </w:pPr>
      <w:r>
        <w:rPr>
          <w:rStyle w:val="Alaviitteenviite"/>
        </w:rPr>
        <w:footnoteRef/>
      </w:r>
      <w:r w:rsidRPr="007A2D5F">
        <w:rPr>
          <w:lang w:val="en-US"/>
        </w:rPr>
        <w:t xml:space="preserve"> Elias, Benin / Nirij 10.11.2024.</w:t>
      </w:r>
    </w:p>
  </w:footnote>
  <w:footnote w:id="43">
    <w:p w14:paraId="107E237B" w14:textId="77777777" w:rsidR="00CE5E36" w:rsidRPr="007A2D5F" w:rsidRDefault="00CE5E36" w:rsidP="00CE5E36">
      <w:pPr>
        <w:pStyle w:val="Alaviitteenteksti"/>
        <w:rPr>
          <w:lang w:val="en-US"/>
        </w:rPr>
      </w:pPr>
      <w:r>
        <w:rPr>
          <w:rStyle w:val="Alaviitteenviite"/>
        </w:rPr>
        <w:footnoteRef/>
      </w:r>
      <w:r w:rsidRPr="007A2D5F">
        <w:rPr>
          <w:lang w:val="en-US"/>
        </w:rPr>
        <w:t xml:space="preserve"> Shafaq News 29.11.2022.</w:t>
      </w:r>
    </w:p>
  </w:footnote>
  <w:footnote w:id="44">
    <w:p w14:paraId="5223D6FC" w14:textId="77777777" w:rsidR="00CE5E36" w:rsidRPr="005B6989" w:rsidRDefault="00CE5E36" w:rsidP="00CE5E36">
      <w:pPr>
        <w:pStyle w:val="Alaviitteenteksti"/>
      </w:pPr>
      <w:r>
        <w:rPr>
          <w:rStyle w:val="Alaviitteenviite"/>
        </w:rPr>
        <w:footnoteRef/>
      </w:r>
      <w:r>
        <w:t xml:space="preserve"> </w:t>
      </w:r>
      <w:r w:rsidRPr="005B6989">
        <w:t>Alnaisani, Wasan &amp; Romera, Magdalena 2025, s. 3</w:t>
      </w:r>
      <w:r>
        <w:t>32</w:t>
      </w:r>
      <w:r w:rsidRPr="00DB1D62">
        <w:t>. Tutkimusta varten oli haastateltu kymmentä naista maaseudulla ja kymmentä kaupunkialueilla.</w:t>
      </w:r>
    </w:p>
  </w:footnote>
  <w:footnote w:id="45">
    <w:p w14:paraId="43FB6F51" w14:textId="77777777" w:rsidR="00CE5E36" w:rsidRDefault="00CE5E36" w:rsidP="00CE5E36">
      <w:pPr>
        <w:pStyle w:val="Alaviitteenteksti"/>
      </w:pPr>
      <w:r>
        <w:rPr>
          <w:rStyle w:val="Alaviitteenviite"/>
        </w:rPr>
        <w:footnoteRef/>
      </w:r>
      <w:r>
        <w:t xml:space="preserve"> </w:t>
      </w:r>
      <w:r w:rsidRPr="008C5BD4">
        <w:t>Benin Elias / Nirij 10.11.2024.</w:t>
      </w:r>
      <w:r>
        <w:t xml:space="preserve"> Verkkolehden haastatteleman asianajaja arvioi, että Irakissa on nostettu kymmeniä tuhansia kanteita perillisten ohittamisen vuoksi (vilpillisesti).</w:t>
      </w:r>
    </w:p>
  </w:footnote>
  <w:footnote w:id="46">
    <w:p w14:paraId="1FEA543D" w14:textId="77777777" w:rsidR="00CE5E36" w:rsidRDefault="00CE5E36" w:rsidP="00CE5E36">
      <w:pPr>
        <w:pStyle w:val="Alaviitteenteksti"/>
      </w:pPr>
      <w:r>
        <w:rPr>
          <w:rStyle w:val="Alaviitteenviite"/>
        </w:rPr>
        <w:footnoteRef/>
      </w:r>
      <w:r>
        <w:t xml:space="preserve"> Muayad &amp; Associates 6.2.2024.</w:t>
      </w:r>
    </w:p>
  </w:footnote>
  <w:footnote w:id="47">
    <w:p w14:paraId="7BAE6B84" w14:textId="62362FFF" w:rsidR="00CE5E36" w:rsidRDefault="00CE5E36" w:rsidP="00CE5E36">
      <w:pPr>
        <w:pStyle w:val="Alaviitteenteksti"/>
      </w:pPr>
      <w:r>
        <w:rPr>
          <w:rStyle w:val="Alaviitteenviite"/>
        </w:rPr>
        <w:footnoteRef/>
      </w:r>
      <w:r>
        <w:t xml:space="preserve"> </w:t>
      </w:r>
      <w:r w:rsidR="00DC6604">
        <w:t>Lähteen mukaan avioero, jonka nainen hakee (ja johon mies suostuu)</w:t>
      </w:r>
      <w:r w:rsidR="00830F64">
        <w:t>,</w:t>
      </w:r>
      <w:r w:rsidR="00DC6604">
        <w:t xml:space="preserve"> ja joka ei oikeuta naista pitämään myötäjäisiään</w:t>
      </w:r>
      <w:r w:rsidR="001C79A0">
        <w:t xml:space="preserve">. </w:t>
      </w:r>
      <w:r w:rsidR="00D8102A" w:rsidRPr="00D54875">
        <w:t>Mohammed, Omar / Irakin korkein tu</w:t>
      </w:r>
      <w:r w:rsidR="00D8102A">
        <w:t>omarineuvosto 30.3.2026.</w:t>
      </w:r>
    </w:p>
  </w:footnote>
  <w:footnote w:id="48">
    <w:p w14:paraId="6D5FB278" w14:textId="77777777" w:rsidR="00CE5E36" w:rsidRPr="00D54875" w:rsidRDefault="00CE5E36" w:rsidP="00CE5E36">
      <w:pPr>
        <w:pStyle w:val="Alaviitteenteksti"/>
      </w:pPr>
      <w:r>
        <w:rPr>
          <w:rStyle w:val="Alaviitteenviite"/>
        </w:rPr>
        <w:footnoteRef/>
      </w:r>
      <w:r w:rsidRPr="00D54875">
        <w:t xml:space="preserve"> Mohammed, Omar / Irakin korkein tu</w:t>
      </w:r>
      <w:r>
        <w:t>omarineuvosto 30.3.2026.</w:t>
      </w:r>
    </w:p>
  </w:footnote>
  <w:footnote w:id="49">
    <w:p w14:paraId="0B4E87D4" w14:textId="77777777" w:rsidR="00CE5E36" w:rsidRPr="00D54875" w:rsidRDefault="00CE5E36" w:rsidP="00CE5E36">
      <w:pPr>
        <w:pStyle w:val="Alaviitteenteksti"/>
      </w:pPr>
      <w:r>
        <w:rPr>
          <w:rStyle w:val="Alaviitteenviite"/>
        </w:rPr>
        <w:footnoteRef/>
      </w:r>
      <w:r w:rsidRPr="00D54875">
        <w:t xml:space="preserve"> Simaet Bhatha 5.2.2025.</w:t>
      </w:r>
    </w:p>
  </w:footnote>
  <w:footnote w:id="50">
    <w:p w14:paraId="6F435B08" w14:textId="77777777" w:rsidR="006B5865" w:rsidRPr="00CE5E36" w:rsidRDefault="006B5865" w:rsidP="006B5865">
      <w:pPr>
        <w:pStyle w:val="Alaviitteenteksti"/>
      </w:pPr>
      <w:r>
        <w:rPr>
          <w:rStyle w:val="Alaviitteenviite"/>
        </w:rPr>
        <w:footnoteRef/>
      </w:r>
      <w:r w:rsidRPr="00CE5E36">
        <w:t xml:space="preserve"> Elias, Benin / Nirij 10.11.2024</w:t>
      </w:r>
      <w:r>
        <w:t xml:space="preserve">; </w:t>
      </w:r>
      <w:r w:rsidRPr="00F33C85">
        <w:t>Simaet Bhatha 28.2.2024.</w:t>
      </w:r>
    </w:p>
  </w:footnote>
  <w:footnote w:id="51">
    <w:p w14:paraId="19CFAEDB" w14:textId="252BC1D5" w:rsidR="00494A52" w:rsidRDefault="00494A52" w:rsidP="00494A52">
      <w:pPr>
        <w:pStyle w:val="Alaviitteenteksti"/>
      </w:pPr>
      <w:r>
        <w:rPr>
          <w:rStyle w:val="Alaviitteenviite"/>
        </w:rPr>
        <w:footnoteRef/>
      </w:r>
      <w:r>
        <w:t xml:space="preserve"> Ks. esim. IILHR 2024, s. 15.</w:t>
      </w:r>
    </w:p>
  </w:footnote>
  <w:footnote w:id="52">
    <w:p w14:paraId="58ADE729" w14:textId="77777777" w:rsidR="00CE5E36" w:rsidRDefault="00CE5E36" w:rsidP="00CE5E36">
      <w:pPr>
        <w:pStyle w:val="Alaviitteenteksti"/>
      </w:pPr>
      <w:r>
        <w:rPr>
          <w:rStyle w:val="Alaviitteenviite"/>
        </w:rPr>
        <w:footnoteRef/>
      </w:r>
      <w:r>
        <w:t xml:space="preserve"> Elias, Benin </w:t>
      </w:r>
      <w:r w:rsidRPr="008C5BD4">
        <w:t>/ Nirij 10.11.2024.</w:t>
      </w:r>
    </w:p>
  </w:footnote>
  <w:footnote w:id="53">
    <w:p w14:paraId="519AB71F" w14:textId="5B3BD439" w:rsidR="00EB69B9" w:rsidRPr="00EB69B9" w:rsidRDefault="00EB69B9">
      <w:pPr>
        <w:pStyle w:val="Alaviitteenteksti"/>
      </w:pPr>
      <w:r>
        <w:rPr>
          <w:rStyle w:val="Alaviitteenviite"/>
        </w:rPr>
        <w:footnoteRef/>
      </w:r>
      <w:r w:rsidRPr="00EB69B9">
        <w:t xml:space="preserve"> Simaet Bhatha -si</w:t>
      </w:r>
      <w:r>
        <w:t xml:space="preserve">vustolla käytetään englanninkielistä termiä ”heir deed” viitaten arabiankieliseen termiin </w:t>
      </w:r>
      <w:r w:rsidRPr="00EB69B9">
        <w:rPr>
          <w:i/>
          <w:iCs/>
        </w:rPr>
        <w:t>al-qassam al-shar</w:t>
      </w:r>
      <w:r w:rsidR="00FE40F8" w:rsidRPr="00FE40F8">
        <w:rPr>
          <w:rFonts w:ascii="Arial" w:hAnsi="Arial" w:cs="Arial"/>
          <w:i/>
          <w:iCs/>
        </w:rPr>
        <w:t>ʿ</w:t>
      </w:r>
      <w:r w:rsidRPr="00EB69B9">
        <w:rPr>
          <w:i/>
          <w:iCs/>
        </w:rPr>
        <w:t>i</w:t>
      </w:r>
      <w:r>
        <w:t xml:space="preserve">. Termille ei vaikuta olevan vakiintunutta käännöstä. Lähteissä käytetään myös termiä ”legal inheritance document”. </w:t>
      </w:r>
      <w:r w:rsidRPr="00EB69B9">
        <w:t>Irakin Washingtonin-suurlähetystö [päiväämätön].</w:t>
      </w:r>
      <w:r>
        <w:t xml:space="preserve"> Tässä kyselyvastauksessa käytetään termiä ”perintötodistus”.</w:t>
      </w:r>
    </w:p>
  </w:footnote>
  <w:footnote w:id="54">
    <w:p w14:paraId="6E1E3DBC" w14:textId="2225FEC6" w:rsidR="00FE1761" w:rsidRPr="00EB69B9" w:rsidRDefault="00FE1761" w:rsidP="00FE1761">
      <w:pPr>
        <w:pStyle w:val="Alaviitteenteksti"/>
      </w:pPr>
      <w:r>
        <w:rPr>
          <w:rStyle w:val="Alaviitteenviite"/>
        </w:rPr>
        <w:footnoteRef/>
      </w:r>
      <w:r w:rsidRPr="00EB69B9">
        <w:t xml:space="preserve"> Simaet Bhatha 28.2.2024</w:t>
      </w:r>
      <w:r w:rsidR="00B14C15">
        <w:t>a</w:t>
      </w:r>
      <w:r w:rsidRPr="00EB69B9">
        <w:t>.</w:t>
      </w:r>
    </w:p>
  </w:footnote>
  <w:footnote w:id="55">
    <w:p w14:paraId="228A077B" w14:textId="0BB93A9D" w:rsidR="00CE5E36" w:rsidRPr="00F33C85" w:rsidRDefault="00CE5E36" w:rsidP="00CE5E36">
      <w:pPr>
        <w:pStyle w:val="Alaviitteenteksti"/>
      </w:pPr>
      <w:r>
        <w:rPr>
          <w:rStyle w:val="Alaviitteenviite"/>
        </w:rPr>
        <w:footnoteRef/>
      </w:r>
      <w:r w:rsidRPr="00F33C85">
        <w:t xml:space="preserve"> Irakin tasavalta 1969,</w:t>
      </w:r>
      <w:r>
        <w:t xml:space="preserve"> laki 83</w:t>
      </w:r>
      <w:r w:rsidRPr="00F33C85">
        <w:t xml:space="preserve"> </w:t>
      </w:r>
      <w:r w:rsidRPr="00B266F0">
        <w:t>artikla 310.</w:t>
      </w:r>
    </w:p>
  </w:footnote>
  <w:footnote w:id="56">
    <w:p w14:paraId="42AFFAED" w14:textId="70CCFD79" w:rsidR="00A61199" w:rsidRPr="00A61199" w:rsidRDefault="00A61199">
      <w:pPr>
        <w:pStyle w:val="Alaviitteenteksti"/>
      </w:pPr>
      <w:r>
        <w:rPr>
          <w:rStyle w:val="Alaviitteenviite"/>
        </w:rPr>
        <w:footnoteRef/>
      </w:r>
      <w:r w:rsidRPr="008D40B2">
        <w:t xml:space="preserve"> </w:t>
      </w:r>
      <w:r w:rsidR="00761AB9">
        <w:t xml:space="preserve">Arab. </w:t>
      </w:r>
      <w:r w:rsidR="00761AB9" w:rsidRPr="00761AB9">
        <w:rPr>
          <w:i/>
          <w:iCs/>
        </w:rPr>
        <w:t>huwiya al-ahwaal al-madaniya</w:t>
      </w:r>
      <w:r w:rsidR="00761AB9">
        <w:t>, e</w:t>
      </w:r>
      <w:r w:rsidRPr="008D40B2">
        <w:t xml:space="preserve">ngl. </w:t>
      </w:r>
      <w:r w:rsidRPr="00A61199">
        <w:t>Civil Status ID, mikä viitta</w:t>
      </w:r>
      <w:r w:rsidR="00FE1847">
        <w:t>a</w:t>
      </w:r>
      <w:r>
        <w:t xml:space="preserve"> vanhan malliseen Irakin henkilötodistukseen (ks. alla).</w:t>
      </w:r>
      <w:r w:rsidR="00A32AD5">
        <w:t xml:space="preserve"> </w:t>
      </w:r>
      <w:r w:rsidR="00A32AD5" w:rsidRPr="00F33C85">
        <w:t>Simaet Bhatha 28.2.2024</w:t>
      </w:r>
      <w:r w:rsidR="004D71C1">
        <w:t>a</w:t>
      </w:r>
      <w:r w:rsidR="00A32AD5">
        <w:t>; Simaet Bhatha 28.2.2024b.</w:t>
      </w:r>
    </w:p>
  </w:footnote>
  <w:footnote w:id="57">
    <w:p w14:paraId="5B58CCF0" w14:textId="481ADF26" w:rsidR="00A8043E" w:rsidRPr="00A8043E" w:rsidRDefault="00A8043E">
      <w:pPr>
        <w:pStyle w:val="Alaviitteenteksti"/>
      </w:pPr>
      <w:r>
        <w:rPr>
          <w:rStyle w:val="Alaviitteenviite"/>
        </w:rPr>
        <w:footnoteRef/>
      </w:r>
      <w:r w:rsidRPr="00A8043E">
        <w:t xml:space="preserve"> </w:t>
      </w:r>
      <w:r w:rsidR="00F16403">
        <w:t>Arab.</w:t>
      </w:r>
      <w:r>
        <w:t xml:space="preserve"> </w:t>
      </w:r>
      <w:r w:rsidRPr="008317F4">
        <w:rPr>
          <w:i/>
          <w:iCs/>
        </w:rPr>
        <w:t>qayd nufuus</w:t>
      </w:r>
      <w:r w:rsidR="00F16403">
        <w:t>. Termille ei löytynyt suoraa käännöstä, mutta</w:t>
      </w:r>
      <w:r w:rsidR="00BE0F90">
        <w:t xml:space="preserve"> sillä viitataan</w:t>
      </w:r>
      <w:r w:rsidR="00F16403">
        <w:t xml:space="preserve"> mahdoll</w:t>
      </w:r>
      <w:r w:rsidR="00C90B1B">
        <w:t>i</w:t>
      </w:r>
      <w:r w:rsidR="00F16403">
        <w:t>sesti</w:t>
      </w:r>
      <w:r>
        <w:t xml:space="preserve"> siv</w:t>
      </w:r>
      <w:r w:rsidR="00DB09F5">
        <w:t>i</w:t>
      </w:r>
      <w:r>
        <w:t>ilirekisteriotteeseen</w:t>
      </w:r>
      <w:r w:rsidR="008B7312">
        <w:t>.</w:t>
      </w:r>
    </w:p>
  </w:footnote>
  <w:footnote w:id="58">
    <w:p w14:paraId="3699ACD7" w14:textId="090499BA" w:rsidR="003D11F8" w:rsidRPr="00E43609" w:rsidRDefault="003D11F8">
      <w:pPr>
        <w:pStyle w:val="Alaviitteenteksti"/>
        <w:rPr>
          <w:lang w:val="en-US"/>
        </w:rPr>
      </w:pPr>
      <w:r>
        <w:rPr>
          <w:rStyle w:val="Alaviitteenviite"/>
        </w:rPr>
        <w:footnoteRef/>
      </w:r>
      <w:r w:rsidRPr="00E43609">
        <w:rPr>
          <w:lang w:val="en-US"/>
        </w:rPr>
        <w:t xml:space="preserve"> Simaet Bhatha 28.2.2024</w:t>
      </w:r>
      <w:r w:rsidR="00E43609" w:rsidRPr="00E43609">
        <w:rPr>
          <w:lang w:val="en-US"/>
        </w:rPr>
        <w:t>a</w:t>
      </w:r>
      <w:r w:rsidR="00F71AE2" w:rsidRPr="00E43609">
        <w:rPr>
          <w:lang w:val="en-US"/>
        </w:rPr>
        <w:t>; Simaet Bhatha 28.2.2024b</w:t>
      </w:r>
      <w:r w:rsidR="008F691D" w:rsidRPr="00E43609">
        <w:rPr>
          <w:lang w:val="en-US"/>
        </w:rPr>
        <w:t>.</w:t>
      </w:r>
    </w:p>
  </w:footnote>
  <w:footnote w:id="59">
    <w:p w14:paraId="463424E7" w14:textId="108A273A" w:rsidR="00A35F42" w:rsidRDefault="00A35F42">
      <w:pPr>
        <w:pStyle w:val="Alaviitteenteksti"/>
      </w:pPr>
      <w:r>
        <w:rPr>
          <w:rStyle w:val="Alaviitteenviite"/>
        </w:rPr>
        <w:footnoteRef/>
      </w:r>
      <w:r>
        <w:t xml:space="preserve"> </w:t>
      </w:r>
      <w:r w:rsidRPr="00F33C85">
        <w:t>Simaet Bhatha 28.2.2024</w:t>
      </w:r>
      <w:r w:rsidR="00E43609">
        <w:t>a</w:t>
      </w:r>
      <w:r w:rsidRPr="00F33C85">
        <w:t>.</w:t>
      </w:r>
    </w:p>
  </w:footnote>
  <w:footnote w:id="60">
    <w:p w14:paraId="6B08A08D" w14:textId="77777777" w:rsidR="00CE5E36" w:rsidRDefault="00CE5E36" w:rsidP="00CE5E36">
      <w:pPr>
        <w:pStyle w:val="Alaviitteenteksti"/>
      </w:pPr>
      <w:r>
        <w:rPr>
          <w:rStyle w:val="Alaviitteenviite"/>
        </w:rPr>
        <w:footnoteRef/>
      </w:r>
      <w:r>
        <w:t xml:space="preserve"> Irakin ulkoministeriö [päiväämätön].</w:t>
      </w:r>
    </w:p>
  </w:footnote>
  <w:footnote w:id="61">
    <w:p w14:paraId="45042BFF" w14:textId="77777777" w:rsidR="00CE5E36" w:rsidRDefault="00CE5E36" w:rsidP="00CE5E36">
      <w:pPr>
        <w:pStyle w:val="Alaviitteenteksti"/>
      </w:pPr>
      <w:r>
        <w:rPr>
          <w:rStyle w:val="Alaviitteenviite"/>
        </w:rPr>
        <w:footnoteRef/>
      </w:r>
      <w:r>
        <w:t xml:space="preserve"> Irakin Washingtonin-suurlähetystö [päiväämätön].</w:t>
      </w:r>
    </w:p>
  </w:footnote>
  <w:footnote w:id="62">
    <w:p w14:paraId="546BA0AB" w14:textId="4476BEB0" w:rsidR="00E37139" w:rsidRDefault="00E37139">
      <w:pPr>
        <w:pStyle w:val="Alaviitteenteksti"/>
      </w:pPr>
      <w:r>
        <w:rPr>
          <w:rStyle w:val="Alaviitteenviite"/>
        </w:rPr>
        <w:footnoteRef/>
      </w:r>
      <w:r>
        <w:t xml:space="preserve"> The Return 30.4.2026.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1CFBA907" w14:textId="77777777" w:rsidTr="00110B17">
      <w:trPr>
        <w:tblHeader/>
      </w:trPr>
      <w:tc>
        <w:tcPr>
          <w:tcW w:w="3005" w:type="dxa"/>
          <w:tcBorders>
            <w:top w:val="nil"/>
            <w:left w:val="nil"/>
            <w:bottom w:val="nil"/>
            <w:right w:val="nil"/>
          </w:tcBorders>
        </w:tcPr>
        <w:p w14:paraId="099AEB89" w14:textId="77777777" w:rsidR="0064460B" w:rsidRPr="00A058E4" w:rsidRDefault="0064460B">
          <w:pPr>
            <w:pStyle w:val="Yltunniste"/>
            <w:rPr>
              <w:sz w:val="16"/>
              <w:szCs w:val="16"/>
            </w:rPr>
          </w:pPr>
        </w:p>
      </w:tc>
      <w:tc>
        <w:tcPr>
          <w:tcW w:w="3005" w:type="dxa"/>
          <w:tcBorders>
            <w:top w:val="nil"/>
            <w:left w:val="nil"/>
            <w:bottom w:val="nil"/>
            <w:right w:val="nil"/>
          </w:tcBorders>
        </w:tcPr>
        <w:p w14:paraId="174A965A"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376BB49"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5F6203C" w14:textId="77777777" w:rsidTr="00421708">
      <w:tc>
        <w:tcPr>
          <w:tcW w:w="3005" w:type="dxa"/>
          <w:tcBorders>
            <w:top w:val="nil"/>
            <w:left w:val="nil"/>
            <w:bottom w:val="nil"/>
            <w:right w:val="nil"/>
          </w:tcBorders>
        </w:tcPr>
        <w:p w14:paraId="7D902C49" w14:textId="77777777" w:rsidR="0064460B" w:rsidRPr="00A058E4" w:rsidRDefault="0064460B">
          <w:pPr>
            <w:pStyle w:val="Yltunniste"/>
            <w:rPr>
              <w:sz w:val="16"/>
              <w:szCs w:val="16"/>
            </w:rPr>
          </w:pPr>
        </w:p>
      </w:tc>
      <w:tc>
        <w:tcPr>
          <w:tcW w:w="3005" w:type="dxa"/>
          <w:tcBorders>
            <w:top w:val="nil"/>
            <w:left w:val="nil"/>
            <w:bottom w:val="nil"/>
            <w:right w:val="nil"/>
          </w:tcBorders>
        </w:tcPr>
        <w:p w14:paraId="1EFFD5F2" w14:textId="77777777" w:rsidR="0064460B" w:rsidRPr="00A058E4" w:rsidRDefault="0064460B">
          <w:pPr>
            <w:pStyle w:val="Yltunniste"/>
            <w:rPr>
              <w:sz w:val="16"/>
              <w:szCs w:val="16"/>
            </w:rPr>
          </w:pPr>
        </w:p>
      </w:tc>
      <w:tc>
        <w:tcPr>
          <w:tcW w:w="3006" w:type="dxa"/>
          <w:tcBorders>
            <w:top w:val="nil"/>
            <w:left w:val="nil"/>
            <w:bottom w:val="nil"/>
            <w:right w:val="nil"/>
          </w:tcBorders>
        </w:tcPr>
        <w:p w14:paraId="57BF6E45" w14:textId="77777777" w:rsidR="0064460B" w:rsidRPr="00A058E4" w:rsidRDefault="0064460B" w:rsidP="00A058E4">
          <w:pPr>
            <w:pStyle w:val="Yltunniste"/>
            <w:jc w:val="right"/>
            <w:rPr>
              <w:sz w:val="16"/>
              <w:szCs w:val="16"/>
            </w:rPr>
          </w:pPr>
        </w:p>
      </w:tc>
    </w:tr>
    <w:tr w:rsidR="0064460B" w:rsidRPr="00A058E4" w14:paraId="2B068A44" w14:textId="77777777" w:rsidTr="00421708">
      <w:tc>
        <w:tcPr>
          <w:tcW w:w="3005" w:type="dxa"/>
          <w:tcBorders>
            <w:top w:val="nil"/>
            <w:left w:val="nil"/>
            <w:bottom w:val="nil"/>
            <w:right w:val="nil"/>
          </w:tcBorders>
        </w:tcPr>
        <w:p w14:paraId="2E3F8F77" w14:textId="77777777" w:rsidR="0064460B" w:rsidRPr="00A058E4" w:rsidRDefault="0064460B">
          <w:pPr>
            <w:pStyle w:val="Yltunniste"/>
            <w:rPr>
              <w:sz w:val="16"/>
              <w:szCs w:val="16"/>
            </w:rPr>
          </w:pPr>
        </w:p>
      </w:tc>
      <w:tc>
        <w:tcPr>
          <w:tcW w:w="3005" w:type="dxa"/>
          <w:tcBorders>
            <w:top w:val="nil"/>
            <w:left w:val="nil"/>
            <w:bottom w:val="nil"/>
            <w:right w:val="nil"/>
          </w:tcBorders>
        </w:tcPr>
        <w:p w14:paraId="576F90C3" w14:textId="77777777" w:rsidR="0064460B" w:rsidRPr="00A058E4" w:rsidRDefault="0064460B">
          <w:pPr>
            <w:pStyle w:val="Yltunniste"/>
            <w:rPr>
              <w:sz w:val="16"/>
              <w:szCs w:val="16"/>
            </w:rPr>
          </w:pPr>
        </w:p>
      </w:tc>
      <w:tc>
        <w:tcPr>
          <w:tcW w:w="3006" w:type="dxa"/>
          <w:tcBorders>
            <w:top w:val="nil"/>
            <w:left w:val="nil"/>
            <w:bottom w:val="nil"/>
            <w:right w:val="nil"/>
          </w:tcBorders>
        </w:tcPr>
        <w:p w14:paraId="6E115C15" w14:textId="77777777" w:rsidR="0064460B" w:rsidRPr="00A058E4" w:rsidRDefault="0064460B" w:rsidP="00A058E4">
          <w:pPr>
            <w:pStyle w:val="Yltunniste"/>
            <w:jc w:val="right"/>
            <w:rPr>
              <w:sz w:val="16"/>
              <w:szCs w:val="16"/>
            </w:rPr>
          </w:pPr>
        </w:p>
      </w:tc>
    </w:tr>
  </w:tbl>
  <w:p w14:paraId="34F3174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372AD991" wp14:editId="01E96446">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5807627" w14:textId="77777777" w:rsidTr="004B2B44">
      <w:tc>
        <w:tcPr>
          <w:tcW w:w="3005" w:type="dxa"/>
          <w:tcBorders>
            <w:top w:val="nil"/>
            <w:left w:val="nil"/>
            <w:bottom w:val="nil"/>
            <w:right w:val="nil"/>
          </w:tcBorders>
        </w:tcPr>
        <w:p w14:paraId="0D3CAC11" w14:textId="77777777" w:rsidR="00873A37" w:rsidRPr="00A058E4" w:rsidRDefault="00873A37">
          <w:pPr>
            <w:pStyle w:val="Yltunniste"/>
            <w:rPr>
              <w:sz w:val="16"/>
              <w:szCs w:val="16"/>
            </w:rPr>
          </w:pPr>
        </w:p>
      </w:tc>
      <w:tc>
        <w:tcPr>
          <w:tcW w:w="3005" w:type="dxa"/>
          <w:tcBorders>
            <w:top w:val="nil"/>
            <w:left w:val="nil"/>
            <w:bottom w:val="nil"/>
            <w:right w:val="nil"/>
          </w:tcBorders>
        </w:tcPr>
        <w:p w14:paraId="6BA1B8C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363B8C41"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63C485AF" w14:textId="77777777" w:rsidTr="004B2B44">
      <w:tc>
        <w:tcPr>
          <w:tcW w:w="3005" w:type="dxa"/>
          <w:tcBorders>
            <w:top w:val="nil"/>
            <w:left w:val="nil"/>
            <w:bottom w:val="nil"/>
            <w:right w:val="nil"/>
          </w:tcBorders>
        </w:tcPr>
        <w:p w14:paraId="4C417628" w14:textId="77777777" w:rsidR="00873A37" w:rsidRPr="00A058E4" w:rsidRDefault="00873A37">
          <w:pPr>
            <w:pStyle w:val="Yltunniste"/>
            <w:rPr>
              <w:sz w:val="16"/>
              <w:szCs w:val="16"/>
            </w:rPr>
          </w:pPr>
        </w:p>
      </w:tc>
      <w:tc>
        <w:tcPr>
          <w:tcW w:w="3005" w:type="dxa"/>
          <w:tcBorders>
            <w:top w:val="nil"/>
            <w:left w:val="nil"/>
            <w:bottom w:val="nil"/>
            <w:right w:val="nil"/>
          </w:tcBorders>
        </w:tcPr>
        <w:p w14:paraId="065EBB05" w14:textId="77777777" w:rsidR="00873A37" w:rsidRPr="00A058E4" w:rsidRDefault="00873A37">
          <w:pPr>
            <w:pStyle w:val="Yltunniste"/>
            <w:rPr>
              <w:sz w:val="16"/>
              <w:szCs w:val="16"/>
            </w:rPr>
          </w:pPr>
        </w:p>
      </w:tc>
      <w:tc>
        <w:tcPr>
          <w:tcW w:w="3006" w:type="dxa"/>
          <w:tcBorders>
            <w:top w:val="nil"/>
            <w:left w:val="nil"/>
            <w:bottom w:val="nil"/>
            <w:right w:val="nil"/>
          </w:tcBorders>
        </w:tcPr>
        <w:p w14:paraId="7B396429" w14:textId="77777777" w:rsidR="00873A37" w:rsidRPr="00A058E4" w:rsidRDefault="00873A37" w:rsidP="00A058E4">
          <w:pPr>
            <w:pStyle w:val="Yltunniste"/>
            <w:jc w:val="right"/>
            <w:rPr>
              <w:sz w:val="16"/>
              <w:szCs w:val="16"/>
            </w:rPr>
          </w:pPr>
        </w:p>
      </w:tc>
    </w:tr>
    <w:tr w:rsidR="00873A37" w:rsidRPr="00A058E4" w14:paraId="04EDE162" w14:textId="77777777" w:rsidTr="004B2B44">
      <w:tc>
        <w:tcPr>
          <w:tcW w:w="3005" w:type="dxa"/>
          <w:tcBorders>
            <w:top w:val="nil"/>
            <w:left w:val="nil"/>
            <w:bottom w:val="nil"/>
            <w:right w:val="nil"/>
          </w:tcBorders>
        </w:tcPr>
        <w:p w14:paraId="0549701B" w14:textId="77777777" w:rsidR="00873A37" w:rsidRPr="00A058E4" w:rsidRDefault="00873A37">
          <w:pPr>
            <w:pStyle w:val="Yltunniste"/>
            <w:rPr>
              <w:sz w:val="16"/>
              <w:szCs w:val="16"/>
            </w:rPr>
          </w:pPr>
        </w:p>
      </w:tc>
      <w:tc>
        <w:tcPr>
          <w:tcW w:w="3005" w:type="dxa"/>
          <w:tcBorders>
            <w:top w:val="nil"/>
            <w:left w:val="nil"/>
            <w:bottom w:val="nil"/>
            <w:right w:val="nil"/>
          </w:tcBorders>
        </w:tcPr>
        <w:p w14:paraId="6D5E7401" w14:textId="77777777" w:rsidR="00873A37" w:rsidRPr="00A058E4" w:rsidRDefault="00873A37">
          <w:pPr>
            <w:pStyle w:val="Yltunniste"/>
            <w:rPr>
              <w:sz w:val="16"/>
              <w:szCs w:val="16"/>
            </w:rPr>
          </w:pPr>
        </w:p>
      </w:tc>
      <w:tc>
        <w:tcPr>
          <w:tcW w:w="3006" w:type="dxa"/>
          <w:tcBorders>
            <w:top w:val="nil"/>
            <w:left w:val="nil"/>
            <w:bottom w:val="nil"/>
            <w:right w:val="nil"/>
          </w:tcBorders>
        </w:tcPr>
        <w:p w14:paraId="5B952D0B" w14:textId="77777777" w:rsidR="00873A37" w:rsidRPr="00A058E4" w:rsidRDefault="00873A37" w:rsidP="00A058E4">
          <w:pPr>
            <w:pStyle w:val="Yltunniste"/>
            <w:jc w:val="right"/>
            <w:rPr>
              <w:sz w:val="16"/>
              <w:szCs w:val="16"/>
            </w:rPr>
          </w:pPr>
        </w:p>
      </w:tc>
    </w:tr>
  </w:tbl>
  <w:p w14:paraId="34EC0CAC"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1B887AD" wp14:editId="4F39E52B">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5D5B2D"/>
    <w:multiLevelType w:val="hybridMultilevel"/>
    <w:tmpl w:val="B84CD45A"/>
    <w:lvl w:ilvl="0" w:tplc="B4E43B28">
      <w:numFmt w:val="bullet"/>
      <w:lvlText w:val="-"/>
      <w:lvlJc w:val="left"/>
      <w:pPr>
        <w:ind w:left="1080" w:hanging="360"/>
      </w:pPr>
      <w:rPr>
        <w:rFonts w:ascii="Century Gothic" w:eastAsiaTheme="minorHAnsi" w:hAnsi="Century Gothic" w:cstheme="minorHAnsi"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9A5E5C"/>
    <w:multiLevelType w:val="hybridMultilevel"/>
    <w:tmpl w:val="647A270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50904176">
    <w:abstractNumId w:val="26"/>
  </w:num>
  <w:num w:numId="2" w16cid:durableId="1073818370">
    <w:abstractNumId w:val="21"/>
  </w:num>
  <w:num w:numId="3" w16cid:durableId="452333676">
    <w:abstractNumId w:val="14"/>
  </w:num>
  <w:num w:numId="4" w16cid:durableId="1569144070">
    <w:abstractNumId w:val="13"/>
  </w:num>
  <w:num w:numId="5" w16cid:durableId="1267270635">
    <w:abstractNumId w:val="11"/>
  </w:num>
  <w:num w:numId="6" w16cid:durableId="1281182054">
    <w:abstractNumId w:val="16"/>
  </w:num>
  <w:num w:numId="7" w16cid:durableId="527715107">
    <w:abstractNumId w:val="20"/>
  </w:num>
  <w:num w:numId="8" w16cid:durableId="1609265856">
    <w:abstractNumId w:val="19"/>
  </w:num>
  <w:num w:numId="9" w16cid:durableId="876164644">
    <w:abstractNumId w:val="19"/>
    <w:lvlOverride w:ilvl="0">
      <w:startOverride w:val="1"/>
    </w:lvlOverride>
  </w:num>
  <w:num w:numId="10" w16cid:durableId="407389574">
    <w:abstractNumId w:val="12"/>
  </w:num>
  <w:num w:numId="11" w16cid:durableId="2000886002">
    <w:abstractNumId w:val="12"/>
    <w:lvlOverride w:ilvl="0">
      <w:startOverride w:val="1"/>
    </w:lvlOverride>
  </w:num>
  <w:num w:numId="12" w16cid:durableId="253520096">
    <w:abstractNumId w:val="12"/>
    <w:lvlOverride w:ilvl="0">
      <w:startOverride w:val="1"/>
    </w:lvlOverride>
  </w:num>
  <w:num w:numId="13" w16cid:durableId="125903196">
    <w:abstractNumId w:val="12"/>
    <w:lvlOverride w:ilvl="0">
      <w:startOverride w:val="1"/>
    </w:lvlOverride>
  </w:num>
  <w:num w:numId="14" w16cid:durableId="1679774387">
    <w:abstractNumId w:val="10"/>
  </w:num>
  <w:num w:numId="15" w16cid:durableId="560403774">
    <w:abstractNumId w:val="3"/>
  </w:num>
  <w:num w:numId="16" w16cid:durableId="760568832">
    <w:abstractNumId w:val="3"/>
  </w:num>
  <w:num w:numId="17" w16cid:durableId="595022878">
    <w:abstractNumId w:val="2"/>
  </w:num>
  <w:num w:numId="18" w16cid:durableId="799037426">
    <w:abstractNumId w:val="18"/>
  </w:num>
  <w:num w:numId="19" w16cid:durableId="1744378380">
    <w:abstractNumId w:val="17"/>
  </w:num>
  <w:num w:numId="20" w16cid:durableId="1626620130">
    <w:abstractNumId w:val="25"/>
  </w:num>
  <w:num w:numId="21" w16cid:durableId="1177697728">
    <w:abstractNumId w:val="7"/>
  </w:num>
  <w:num w:numId="22" w16cid:durableId="66807943">
    <w:abstractNumId w:val="23"/>
  </w:num>
  <w:num w:numId="23" w16cid:durableId="51733734">
    <w:abstractNumId w:val="5"/>
  </w:num>
  <w:num w:numId="24" w16cid:durableId="2046251014">
    <w:abstractNumId w:val="8"/>
  </w:num>
  <w:num w:numId="25" w16cid:durableId="2022471430">
    <w:abstractNumId w:val="0"/>
  </w:num>
  <w:num w:numId="26" w16cid:durableId="3754326">
    <w:abstractNumId w:val="24"/>
  </w:num>
  <w:num w:numId="27" w16cid:durableId="944651858">
    <w:abstractNumId w:val="9"/>
  </w:num>
  <w:num w:numId="28" w16cid:durableId="568000634">
    <w:abstractNumId w:val="6"/>
  </w:num>
  <w:num w:numId="29" w16cid:durableId="1378168585">
    <w:abstractNumId w:val="15"/>
  </w:num>
  <w:num w:numId="30" w16cid:durableId="2073044382">
    <w:abstractNumId w:val="4"/>
  </w:num>
  <w:num w:numId="31" w16cid:durableId="1965189581">
    <w:abstractNumId w:val="4"/>
  </w:num>
  <w:num w:numId="32" w16cid:durableId="570385766">
    <w:abstractNumId w:val="4"/>
  </w:num>
  <w:num w:numId="33" w16cid:durableId="764157984">
    <w:abstractNumId w:val="4"/>
  </w:num>
  <w:num w:numId="34" w16cid:durableId="153184174">
    <w:abstractNumId w:val="1"/>
  </w:num>
  <w:num w:numId="35" w16cid:durableId="18903358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90"/>
    <w:rsid w:val="00010C97"/>
    <w:rsid w:val="0001289F"/>
    <w:rsid w:val="00012EC0"/>
    <w:rsid w:val="00013B40"/>
    <w:rsid w:val="00013F3D"/>
    <w:rsid w:val="000140FF"/>
    <w:rsid w:val="00022D94"/>
    <w:rsid w:val="00023864"/>
    <w:rsid w:val="00042CBB"/>
    <w:rsid w:val="000449EA"/>
    <w:rsid w:val="000455E3"/>
    <w:rsid w:val="00046783"/>
    <w:rsid w:val="0004753A"/>
    <w:rsid w:val="000564EB"/>
    <w:rsid w:val="000663E8"/>
    <w:rsid w:val="0007094E"/>
    <w:rsid w:val="00072438"/>
    <w:rsid w:val="00082DFE"/>
    <w:rsid w:val="0008617B"/>
    <w:rsid w:val="00091C49"/>
    <w:rsid w:val="0009323F"/>
    <w:rsid w:val="000A1A48"/>
    <w:rsid w:val="000B3FE2"/>
    <w:rsid w:val="000B6C2B"/>
    <w:rsid w:val="000B7953"/>
    <w:rsid w:val="000B7ABB"/>
    <w:rsid w:val="000D45F8"/>
    <w:rsid w:val="000E1475"/>
    <w:rsid w:val="000E1A4B"/>
    <w:rsid w:val="000E2D54"/>
    <w:rsid w:val="000E693C"/>
    <w:rsid w:val="000F29F1"/>
    <w:rsid w:val="000F4AD8"/>
    <w:rsid w:val="000F6F25"/>
    <w:rsid w:val="000F793B"/>
    <w:rsid w:val="00110468"/>
    <w:rsid w:val="00110B17"/>
    <w:rsid w:val="00117EA9"/>
    <w:rsid w:val="00124125"/>
    <w:rsid w:val="00131B7A"/>
    <w:rsid w:val="001360E5"/>
    <w:rsid w:val="001366EE"/>
    <w:rsid w:val="00136FEB"/>
    <w:rsid w:val="0013753E"/>
    <w:rsid w:val="00152483"/>
    <w:rsid w:val="0015362E"/>
    <w:rsid w:val="0016444E"/>
    <w:rsid w:val="00164E5C"/>
    <w:rsid w:val="001678AD"/>
    <w:rsid w:val="001706B8"/>
    <w:rsid w:val="001741CB"/>
    <w:rsid w:val="001758C8"/>
    <w:rsid w:val="00176703"/>
    <w:rsid w:val="00176CE4"/>
    <w:rsid w:val="001863E0"/>
    <w:rsid w:val="0019524D"/>
    <w:rsid w:val="00195763"/>
    <w:rsid w:val="001A1852"/>
    <w:rsid w:val="001A4752"/>
    <w:rsid w:val="001A6C83"/>
    <w:rsid w:val="001A7D0C"/>
    <w:rsid w:val="001B1636"/>
    <w:rsid w:val="001B2917"/>
    <w:rsid w:val="001B2CDD"/>
    <w:rsid w:val="001B5A04"/>
    <w:rsid w:val="001B6B07"/>
    <w:rsid w:val="001C0382"/>
    <w:rsid w:val="001C3EB2"/>
    <w:rsid w:val="001C422A"/>
    <w:rsid w:val="001C79A0"/>
    <w:rsid w:val="001D015C"/>
    <w:rsid w:val="001D1831"/>
    <w:rsid w:val="001D587F"/>
    <w:rsid w:val="001D5CAA"/>
    <w:rsid w:val="001D63F6"/>
    <w:rsid w:val="001D7E7A"/>
    <w:rsid w:val="001E21A8"/>
    <w:rsid w:val="001F1B08"/>
    <w:rsid w:val="001F43B5"/>
    <w:rsid w:val="00203FC4"/>
    <w:rsid w:val="00206DFC"/>
    <w:rsid w:val="002248A2"/>
    <w:rsid w:val="00224FD6"/>
    <w:rsid w:val="00225293"/>
    <w:rsid w:val="0022712B"/>
    <w:rsid w:val="002350CB"/>
    <w:rsid w:val="00237C15"/>
    <w:rsid w:val="00252F50"/>
    <w:rsid w:val="00253B21"/>
    <w:rsid w:val="002571E9"/>
    <w:rsid w:val="002623A3"/>
    <w:rsid w:val="002629C5"/>
    <w:rsid w:val="00267906"/>
    <w:rsid w:val="00267E88"/>
    <w:rsid w:val="00272D9D"/>
    <w:rsid w:val="002965B5"/>
    <w:rsid w:val="0029705D"/>
    <w:rsid w:val="002A6054"/>
    <w:rsid w:val="002B3718"/>
    <w:rsid w:val="002B4F5C"/>
    <w:rsid w:val="002B5E48"/>
    <w:rsid w:val="002C2668"/>
    <w:rsid w:val="002C4FEA"/>
    <w:rsid w:val="002C656A"/>
    <w:rsid w:val="002C706B"/>
    <w:rsid w:val="002D0032"/>
    <w:rsid w:val="002D2EFD"/>
    <w:rsid w:val="002D70EF"/>
    <w:rsid w:val="002D7383"/>
    <w:rsid w:val="002E0B87"/>
    <w:rsid w:val="002E7DCF"/>
    <w:rsid w:val="003037F6"/>
    <w:rsid w:val="003077A4"/>
    <w:rsid w:val="003135FC"/>
    <w:rsid w:val="00313687"/>
    <w:rsid w:val="00313CBC"/>
    <w:rsid w:val="00313CBF"/>
    <w:rsid w:val="00314821"/>
    <w:rsid w:val="00316A64"/>
    <w:rsid w:val="0032021E"/>
    <w:rsid w:val="0032217B"/>
    <w:rsid w:val="003226F0"/>
    <w:rsid w:val="00325342"/>
    <w:rsid w:val="00335D68"/>
    <w:rsid w:val="0033622F"/>
    <w:rsid w:val="00337E76"/>
    <w:rsid w:val="00342A30"/>
    <w:rsid w:val="00346ACB"/>
    <w:rsid w:val="00351B7D"/>
    <w:rsid w:val="00356FCF"/>
    <w:rsid w:val="0036262C"/>
    <w:rsid w:val="00363299"/>
    <w:rsid w:val="00366BFB"/>
    <w:rsid w:val="003673C0"/>
    <w:rsid w:val="00370E4F"/>
    <w:rsid w:val="00373713"/>
    <w:rsid w:val="00376326"/>
    <w:rsid w:val="00377AEB"/>
    <w:rsid w:val="00377FB8"/>
    <w:rsid w:val="0038473B"/>
    <w:rsid w:val="00385B1D"/>
    <w:rsid w:val="003864FC"/>
    <w:rsid w:val="00390DB7"/>
    <w:rsid w:val="0039232D"/>
    <w:rsid w:val="00393513"/>
    <w:rsid w:val="00394792"/>
    <w:rsid w:val="00395CF3"/>
    <w:rsid w:val="003964A3"/>
    <w:rsid w:val="003976AD"/>
    <w:rsid w:val="003B0977"/>
    <w:rsid w:val="003B144B"/>
    <w:rsid w:val="003B3150"/>
    <w:rsid w:val="003B75FC"/>
    <w:rsid w:val="003C2007"/>
    <w:rsid w:val="003C4049"/>
    <w:rsid w:val="003C5382"/>
    <w:rsid w:val="003D0AB9"/>
    <w:rsid w:val="003D11F8"/>
    <w:rsid w:val="003D1EC7"/>
    <w:rsid w:val="003D4732"/>
    <w:rsid w:val="003F4333"/>
    <w:rsid w:val="003F5BFA"/>
    <w:rsid w:val="004045B4"/>
    <w:rsid w:val="00410407"/>
    <w:rsid w:val="0041494B"/>
    <w:rsid w:val="0041667A"/>
    <w:rsid w:val="00421708"/>
    <w:rsid w:val="004221B0"/>
    <w:rsid w:val="00423E56"/>
    <w:rsid w:val="0043343B"/>
    <w:rsid w:val="0043717D"/>
    <w:rsid w:val="00440722"/>
    <w:rsid w:val="004460C6"/>
    <w:rsid w:val="00460ADC"/>
    <w:rsid w:val="00465DC6"/>
    <w:rsid w:val="0047289A"/>
    <w:rsid w:val="0047544F"/>
    <w:rsid w:val="00483E37"/>
    <w:rsid w:val="00490C27"/>
    <w:rsid w:val="00494A52"/>
    <w:rsid w:val="0049569D"/>
    <w:rsid w:val="004A3E23"/>
    <w:rsid w:val="004B2B44"/>
    <w:rsid w:val="004B34E1"/>
    <w:rsid w:val="004B5A05"/>
    <w:rsid w:val="004C00D9"/>
    <w:rsid w:val="004C1C47"/>
    <w:rsid w:val="004C23F9"/>
    <w:rsid w:val="004C6FB1"/>
    <w:rsid w:val="004D71C1"/>
    <w:rsid w:val="004D7499"/>
    <w:rsid w:val="004D76E3"/>
    <w:rsid w:val="004E598B"/>
    <w:rsid w:val="004E6083"/>
    <w:rsid w:val="004F15C9"/>
    <w:rsid w:val="004F28FE"/>
    <w:rsid w:val="004F4078"/>
    <w:rsid w:val="004F7A43"/>
    <w:rsid w:val="0050042F"/>
    <w:rsid w:val="00510620"/>
    <w:rsid w:val="00512BE9"/>
    <w:rsid w:val="00524671"/>
    <w:rsid w:val="00525360"/>
    <w:rsid w:val="00527E87"/>
    <w:rsid w:val="00543B88"/>
    <w:rsid w:val="00543F66"/>
    <w:rsid w:val="00546E87"/>
    <w:rsid w:val="00554136"/>
    <w:rsid w:val="00554A7A"/>
    <w:rsid w:val="0055582F"/>
    <w:rsid w:val="00555E75"/>
    <w:rsid w:val="00556532"/>
    <w:rsid w:val="0056439A"/>
    <w:rsid w:val="0056613C"/>
    <w:rsid w:val="00566672"/>
    <w:rsid w:val="005719F7"/>
    <w:rsid w:val="00574708"/>
    <w:rsid w:val="005814A1"/>
    <w:rsid w:val="00582D5B"/>
    <w:rsid w:val="00583FE4"/>
    <w:rsid w:val="005A0A04"/>
    <w:rsid w:val="005A309A"/>
    <w:rsid w:val="005A5E7D"/>
    <w:rsid w:val="005A717A"/>
    <w:rsid w:val="005B00BB"/>
    <w:rsid w:val="005B3A3F"/>
    <w:rsid w:val="005B47D8"/>
    <w:rsid w:val="005B6C91"/>
    <w:rsid w:val="005B72D7"/>
    <w:rsid w:val="005C4F16"/>
    <w:rsid w:val="005D2B4A"/>
    <w:rsid w:val="005D3A33"/>
    <w:rsid w:val="005D7EB5"/>
    <w:rsid w:val="005E2BC1"/>
    <w:rsid w:val="005F163B"/>
    <w:rsid w:val="0060063B"/>
    <w:rsid w:val="00601F27"/>
    <w:rsid w:val="00610102"/>
    <w:rsid w:val="00613331"/>
    <w:rsid w:val="00620595"/>
    <w:rsid w:val="00627C21"/>
    <w:rsid w:val="00633597"/>
    <w:rsid w:val="00633BBD"/>
    <w:rsid w:val="00634FEB"/>
    <w:rsid w:val="00636442"/>
    <w:rsid w:val="0064460B"/>
    <w:rsid w:val="0064589F"/>
    <w:rsid w:val="0064673D"/>
    <w:rsid w:val="006558AE"/>
    <w:rsid w:val="00655C4C"/>
    <w:rsid w:val="00662B56"/>
    <w:rsid w:val="00666FD6"/>
    <w:rsid w:val="00671041"/>
    <w:rsid w:val="00674BA9"/>
    <w:rsid w:val="00686CF3"/>
    <w:rsid w:val="0069181E"/>
    <w:rsid w:val="00694B84"/>
    <w:rsid w:val="006A2F5D"/>
    <w:rsid w:val="006A37F3"/>
    <w:rsid w:val="006A4F5F"/>
    <w:rsid w:val="006B1508"/>
    <w:rsid w:val="006B1E0C"/>
    <w:rsid w:val="006B3E85"/>
    <w:rsid w:val="006B4626"/>
    <w:rsid w:val="006B5865"/>
    <w:rsid w:val="006C4B15"/>
    <w:rsid w:val="006C5B80"/>
    <w:rsid w:val="006C7A99"/>
    <w:rsid w:val="006D3068"/>
    <w:rsid w:val="006E1E84"/>
    <w:rsid w:val="006E7D0B"/>
    <w:rsid w:val="006F0B7C"/>
    <w:rsid w:val="006F130C"/>
    <w:rsid w:val="0070377D"/>
    <w:rsid w:val="00707161"/>
    <w:rsid w:val="0071210C"/>
    <w:rsid w:val="007168DA"/>
    <w:rsid w:val="007212A4"/>
    <w:rsid w:val="00723843"/>
    <w:rsid w:val="00726374"/>
    <w:rsid w:val="00726490"/>
    <w:rsid w:val="007304DC"/>
    <w:rsid w:val="0073068A"/>
    <w:rsid w:val="00734468"/>
    <w:rsid w:val="0074104A"/>
    <w:rsid w:val="0074158A"/>
    <w:rsid w:val="00751EBB"/>
    <w:rsid w:val="00761AB9"/>
    <w:rsid w:val="00772240"/>
    <w:rsid w:val="0077415D"/>
    <w:rsid w:val="00785D58"/>
    <w:rsid w:val="007941B9"/>
    <w:rsid w:val="007A621D"/>
    <w:rsid w:val="007B2D20"/>
    <w:rsid w:val="007B6D25"/>
    <w:rsid w:val="007C057B"/>
    <w:rsid w:val="007C1151"/>
    <w:rsid w:val="007C25EB"/>
    <w:rsid w:val="007C4B6F"/>
    <w:rsid w:val="007C4EAF"/>
    <w:rsid w:val="007C5BB2"/>
    <w:rsid w:val="007D4F67"/>
    <w:rsid w:val="007E0069"/>
    <w:rsid w:val="007E29C4"/>
    <w:rsid w:val="00800AA9"/>
    <w:rsid w:val="008020E6"/>
    <w:rsid w:val="008030C9"/>
    <w:rsid w:val="00803B42"/>
    <w:rsid w:val="00810134"/>
    <w:rsid w:val="0081058E"/>
    <w:rsid w:val="00830F64"/>
    <w:rsid w:val="008317F4"/>
    <w:rsid w:val="008350F0"/>
    <w:rsid w:val="00835734"/>
    <w:rsid w:val="0084029C"/>
    <w:rsid w:val="00845940"/>
    <w:rsid w:val="00855F52"/>
    <w:rsid w:val="008571C0"/>
    <w:rsid w:val="00860C12"/>
    <w:rsid w:val="0087371C"/>
    <w:rsid w:val="00873A37"/>
    <w:rsid w:val="008755BF"/>
    <w:rsid w:val="00882855"/>
    <w:rsid w:val="008A630A"/>
    <w:rsid w:val="008B1BCD"/>
    <w:rsid w:val="008B2637"/>
    <w:rsid w:val="008B44DF"/>
    <w:rsid w:val="008B4C53"/>
    <w:rsid w:val="008B6955"/>
    <w:rsid w:val="008B7312"/>
    <w:rsid w:val="008B78BF"/>
    <w:rsid w:val="008B7E01"/>
    <w:rsid w:val="008C3171"/>
    <w:rsid w:val="008C3FF0"/>
    <w:rsid w:val="008C6A0E"/>
    <w:rsid w:val="008D40B2"/>
    <w:rsid w:val="008D6C72"/>
    <w:rsid w:val="008E0129"/>
    <w:rsid w:val="008E1575"/>
    <w:rsid w:val="008F20FD"/>
    <w:rsid w:val="008F2AAB"/>
    <w:rsid w:val="008F691D"/>
    <w:rsid w:val="0090479F"/>
    <w:rsid w:val="00905231"/>
    <w:rsid w:val="0090600E"/>
    <w:rsid w:val="00911FD2"/>
    <w:rsid w:val="009170B9"/>
    <w:rsid w:val="009230EE"/>
    <w:rsid w:val="00931C4A"/>
    <w:rsid w:val="00941FAB"/>
    <w:rsid w:val="00946073"/>
    <w:rsid w:val="00952982"/>
    <w:rsid w:val="009648E5"/>
    <w:rsid w:val="00966541"/>
    <w:rsid w:val="00973896"/>
    <w:rsid w:val="00980F1C"/>
    <w:rsid w:val="00981808"/>
    <w:rsid w:val="00986B60"/>
    <w:rsid w:val="00987D32"/>
    <w:rsid w:val="009B5687"/>
    <w:rsid w:val="009B5B7B"/>
    <w:rsid w:val="009B606B"/>
    <w:rsid w:val="009D26CC"/>
    <w:rsid w:val="009D44A2"/>
    <w:rsid w:val="009E0F44"/>
    <w:rsid w:val="009E3B08"/>
    <w:rsid w:val="009E3C92"/>
    <w:rsid w:val="009E4072"/>
    <w:rsid w:val="009E7E28"/>
    <w:rsid w:val="00A04FF1"/>
    <w:rsid w:val="00A058E4"/>
    <w:rsid w:val="00A072F1"/>
    <w:rsid w:val="00A07647"/>
    <w:rsid w:val="00A2688F"/>
    <w:rsid w:val="00A32AD5"/>
    <w:rsid w:val="00A35BCB"/>
    <w:rsid w:val="00A35F42"/>
    <w:rsid w:val="00A429C3"/>
    <w:rsid w:val="00A522BB"/>
    <w:rsid w:val="00A60219"/>
    <w:rsid w:val="00A61199"/>
    <w:rsid w:val="00A6466D"/>
    <w:rsid w:val="00A730B4"/>
    <w:rsid w:val="00A74713"/>
    <w:rsid w:val="00A74B58"/>
    <w:rsid w:val="00A7678F"/>
    <w:rsid w:val="00A8043E"/>
    <w:rsid w:val="00A825F7"/>
    <w:rsid w:val="00A8295C"/>
    <w:rsid w:val="00A82B08"/>
    <w:rsid w:val="00A900EA"/>
    <w:rsid w:val="00A93B2D"/>
    <w:rsid w:val="00AA4322"/>
    <w:rsid w:val="00AB553A"/>
    <w:rsid w:val="00AB5A4A"/>
    <w:rsid w:val="00AC3117"/>
    <w:rsid w:val="00AC4FDE"/>
    <w:rsid w:val="00AC5E4B"/>
    <w:rsid w:val="00AD1BEE"/>
    <w:rsid w:val="00AE08A1"/>
    <w:rsid w:val="00AE21E8"/>
    <w:rsid w:val="00AE54AA"/>
    <w:rsid w:val="00AE5629"/>
    <w:rsid w:val="00AE599B"/>
    <w:rsid w:val="00AE66B6"/>
    <w:rsid w:val="00AE7C7B"/>
    <w:rsid w:val="00AF03BC"/>
    <w:rsid w:val="00B0234C"/>
    <w:rsid w:val="00B07C42"/>
    <w:rsid w:val="00B112B8"/>
    <w:rsid w:val="00B14C15"/>
    <w:rsid w:val="00B1686D"/>
    <w:rsid w:val="00B266F0"/>
    <w:rsid w:val="00B33136"/>
    <w:rsid w:val="00B33381"/>
    <w:rsid w:val="00B33706"/>
    <w:rsid w:val="00B37882"/>
    <w:rsid w:val="00B40802"/>
    <w:rsid w:val="00B44143"/>
    <w:rsid w:val="00B529CE"/>
    <w:rsid w:val="00B52A4D"/>
    <w:rsid w:val="00B52DD7"/>
    <w:rsid w:val="00B53659"/>
    <w:rsid w:val="00B65278"/>
    <w:rsid w:val="00B70293"/>
    <w:rsid w:val="00B7440B"/>
    <w:rsid w:val="00B96A72"/>
    <w:rsid w:val="00BA2164"/>
    <w:rsid w:val="00BA7B32"/>
    <w:rsid w:val="00BA7EC3"/>
    <w:rsid w:val="00BB0B29"/>
    <w:rsid w:val="00BB7421"/>
    <w:rsid w:val="00BB785D"/>
    <w:rsid w:val="00BB7F45"/>
    <w:rsid w:val="00BC1CB7"/>
    <w:rsid w:val="00BC1D04"/>
    <w:rsid w:val="00BC367A"/>
    <w:rsid w:val="00BC4CE3"/>
    <w:rsid w:val="00BD051F"/>
    <w:rsid w:val="00BD4AAB"/>
    <w:rsid w:val="00BD7BA5"/>
    <w:rsid w:val="00BE0837"/>
    <w:rsid w:val="00BE0F90"/>
    <w:rsid w:val="00BE2758"/>
    <w:rsid w:val="00BE55B7"/>
    <w:rsid w:val="00BE608B"/>
    <w:rsid w:val="00BE7E5C"/>
    <w:rsid w:val="00BF1AB3"/>
    <w:rsid w:val="00BF744C"/>
    <w:rsid w:val="00C06A16"/>
    <w:rsid w:val="00C06FCB"/>
    <w:rsid w:val="00C1035E"/>
    <w:rsid w:val="00C112FB"/>
    <w:rsid w:val="00C1302F"/>
    <w:rsid w:val="00C16436"/>
    <w:rsid w:val="00C16602"/>
    <w:rsid w:val="00C25F4A"/>
    <w:rsid w:val="00C3026C"/>
    <w:rsid w:val="00C312C8"/>
    <w:rsid w:val="00C348A3"/>
    <w:rsid w:val="00C35038"/>
    <w:rsid w:val="00C40C80"/>
    <w:rsid w:val="00C44368"/>
    <w:rsid w:val="00C46C60"/>
    <w:rsid w:val="00C73134"/>
    <w:rsid w:val="00C747DB"/>
    <w:rsid w:val="00C762AA"/>
    <w:rsid w:val="00C82F4F"/>
    <w:rsid w:val="00C8362C"/>
    <w:rsid w:val="00C90B1B"/>
    <w:rsid w:val="00C90D86"/>
    <w:rsid w:val="00C94FC7"/>
    <w:rsid w:val="00C95A8B"/>
    <w:rsid w:val="00CC25B9"/>
    <w:rsid w:val="00CC3CAE"/>
    <w:rsid w:val="00CC5973"/>
    <w:rsid w:val="00CD41D7"/>
    <w:rsid w:val="00CD51EB"/>
    <w:rsid w:val="00CD6876"/>
    <w:rsid w:val="00CE26C7"/>
    <w:rsid w:val="00CE5E36"/>
    <w:rsid w:val="00CF2743"/>
    <w:rsid w:val="00CF712C"/>
    <w:rsid w:val="00D130BC"/>
    <w:rsid w:val="00D130E2"/>
    <w:rsid w:val="00D14C83"/>
    <w:rsid w:val="00D152E0"/>
    <w:rsid w:val="00D171E5"/>
    <w:rsid w:val="00D205C8"/>
    <w:rsid w:val="00D243D7"/>
    <w:rsid w:val="00D24D52"/>
    <w:rsid w:val="00D32A33"/>
    <w:rsid w:val="00D37291"/>
    <w:rsid w:val="00D454D7"/>
    <w:rsid w:val="00D47232"/>
    <w:rsid w:val="00D522F5"/>
    <w:rsid w:val="00D57B4D"/>
    <w:rsid w:val="00D6472E"/>
    <w:rsid w:val="00D724F3"/>
    <w:rsid w:val="00D73C3B"/>
    <w:rsid w:val="00D77B87"/>
    <w:rsid w:val="00D80CF9"/>
    <w:rsid w:val="00D8102A"/>
    <w:rsid w:val="00D85581"/>
    <w:rsid w:val="00D86658"/>
    <w:rsid w:val="00D93433"/>
    <w:rsid w:val="00D9702B"/>
    <w:rsid w:val="00DB09F5"/>
    <w:rsid w:val="00DB1D62"/>
    <w:rsid w:val="00DB1E92"/>
    <w:rsid w:val="00DB256D"/>
    <w:rsid w:val="00DC1073"/>
    <w:rsid w:val="00DC5480"/>
    <w:rsid w:val="00DC565C"/>
    <w:rsid w:val="00DC6604"/>
    <w:rsid w:val="00DC6CD6"/>
    <w:rsid w:val="00DC729C"/>
    <w:rsid w:val="00DD0451"/>
    <w:rsid w:val="00DD1635"/>
    <w:rsid w:val="00DD2A80"/>
    <w:rsid w:val="00DE1C15"/>
    <w:rsid w:val="00DE3B87"/>
    <w:rsid w:val="00DF4C39"/>
    <w:rsid w:val="00E002A5"/>
    <w:rsid w:val="00E0146F"/>
    <w:rsid w:val="00E01537"/>
    <w:rsid w:val="00E0214D"/>
    <w:rsid w:val="00E100BE"/>
    <w:rsid w:val="00E10F4B"/>
    <w:rsid w:val="00E15597"/>
    <w:rsid w:val="00E15EE7"/>
    <w:rsid w:val="00E16851"/>
    <w:rsid w:val="00E37139"/>
    <w:rsid w:val="00E373DB"/>
    <w:rsid w:val="00E37B7C"/>
    <w:rsid w:val="00E40738"/>
    <w:rsid w:val="00E424D1"/>
    <w:rsid w:val="00E4341C"/>
    <w:rsid w:val="00E43609"/>
    <w:rsid w:val="00E44896"/>
    <w:rsid w:val="00E5437B"/>
    <w:rsid w:val="00E61ADE"/>
    <w:rsid w:val="00E61B04"/>
    <w:rsid w:val="00E6371A"/>
    <w:rsid w:val="00E64CFC"/>
    <w:rsid w:val="00E66BD8"/>
    <w:rsid w:val="00E85D86"/>
    <w:rsid w:val="00E9185D"/>
    <w:rsid w:val="00E94FBE"/>
    <w:rsid w:val="00EA211A"/>
    <w:rsid w:val="00EA4FE4"/>
    <w:rsid w:val="00EB031A"/>
    <w:rsid w:val="00EB0BB5"/>
    <w:rsid w:val="00EB347C"/>
    <w:rsid w:val="00EB69B9"/>
    <w:rsid w:val="00EB6C6D"/>
    <w:rsid w:val="00EC45CF"/>
    <w:rsid w:val="00ED148F"/>
    <w:rsid w:val="00ED7DF2"/>
    <w:rsid w:val="00EE20DB"/>
    <w:rsid w:val="00EF6FCF"/>
    <w:rsid w:val="00F04424"/>
    <w:rsid w:val="00F04AE6"/>
    <w:rsid w:val="00F14DE8"/>
    <w:rsid w:val="00F16403"/>
    <w:rsid w:val="00F24CAB"/>
    <w:rsid w:val="00F2514C"/>
    <w:rsid w:val="00F40646"/>
    <w:rsid w:val="00F43553"/>
    <w:rsid w:val="00F50193"/>
    <w:rsid w:val="00F50B13"/>
    <w:rsid w:val="00F537BF"/>
    <w:rsid w:val="00F61D61"/>
    <w:rsid w:val="00F71AE2"/>
    <w:rsid w:val="00F75550"/>
    <w:rsid w:val="00F81E6B"/>
    <w:rsid w:val="00F82F9C"/>
    <w:rsid w:val="00F84EB2"/>
    <w:rsid w:val="00F9130C"/>
    <w:rsid w:val="00F937B6"/>
    <w:rsid w:val="00F9400E"/>
    <w:rsid w:val="00F94E90"/>
    <w:rsid w:val="00F96624"/>
    <w:rsid w:val="00F97C07"/>
    <w:rsid w:val="00FB0239"/>
    <w:rsid w:val="00FB090D"/>
    <w:rsid w:val="00FB12AC"/>
    <w:rsid w:val="00FB4752"/>
    <w:rsid w:val="00FB56A8"/>
    <w:rsid w:val="00FB6833"/>
    <w:rsid w:val="00FC0084"/>
    <w:rsid w:val="00FC6822"/>
    <w:rsid w:val="00FD47DD"/>
    <w:rsid w:val="00FD4BEA"/>
    <w:rsid w:val="00FE04C7"/>
    <w:rsid w:val="00FE1761"/>
    <w:rsid w:val="00FE1847"/>
    <w:rsid w:val="00FE40F8"/>
    <w:rsid w:val="00FF076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FC5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CE5E36"/>
    <w:rPr>
      <w:sz w:val="16"/>
      <w:szCs w:val="16"/>
    </w:rPr>
  </w:style>
  <w:style w:type="paragraph" w:styleId="Kommentinteksti">
    <w:name w:val="annotation text"/>
    <w:basedOn w:val="Normaali"/>
    <w:link w:val="KommentintekstiChar"/>
    <w:uiPriority w:val="99"/>
    <w:semiHidden/>
    <w:unhideWhenUsed/>
    <w:rsid w:val="00CE5E36"/>
    <w:pPr>
      <w:spacing w:before="0" w:line="240" w:lineRule="auto"/>
      <w:jc w:val="left"/>
    </w:pPr>
    <w:rPr>
      <w:szCs w:val="20"/>
    </w:rPr>
  </w:style>
  <w:style w:type="character" w:customStyle="1" w:styleId="KommentintekstiChar">
    <w:name w:val="Kommentin teksti Char"/>
    <w:basedOn w:val="Kappaleenoletusfontti"/>
    <w:link w:val="Kommentinteksti"/>
    <w:uiPriority w:val="99"/>
    <w:semiHidden/>
    <w:rsid w:val="00CE5E3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B7421"/>
    <w:pPr>
      <w:spacing w:before="160"/>
      <w:jc w:val="both"/>
    </w:pPr>
    <w:rPr>
      <w:b/>
      <w:bCs/>
    </w:rPr>
  </w:style>
  <w:style w:type="character" w:customStyle="1" w:styleId="KommentinotsikkoChar">
    <w:name w:val="Kommentin otsikko Char"/>
    <w:basedOn w:val="KommentintekstiChar"/>
    <w:link w:val="Kommentinotsikko"/>
    <w:uiPriority w:val="99"/>
    <w:semiHidden/>
    <w:rsid w:val="00BB742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7193803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24/9781003364412" TargetMode="External"/><Relationship Id="rId18" Type="http://schemas.openxmlformats.org/officeDocument/2006/relationships/hyperlink" Target="https://www.hrw.org/news/2025/10/15/iraq-new-personal-status-code-makes-women-second-class" TargetMode="External"/><Relationship Id="rId26" Type="http://schemas.openxmlformats.org/officeDocument/2006/relationships/hyperlink" Target="https://kc-interlaw.org/web/viewer.html?file=https://images.kc-interlaw.org/root/root/images/924112021_Iraqi%20Civil%20Procedure%20Law.pdf" TargetMode="External"/><Relationship Id="rId39" Type="http://schemas.openxmlformats.org/officeDocument/2006/relationships/hyperlink" Target="https://shafaq.com/en/Report/Contrary-to-Islam-and-law-Why-are-Iraqi-women-denied-their-inheritance" TargetMode="External"/><Relationship Id="rId21" Type="http://schemas.openxmlformats.org/officeDocument/2006/relationships/hyperlink" Target="https://www.idea.int/democracytracker/report/iraq/february-2025" TargetMode="External"/><Relationship Id="rId34" Type="http://schemas.openxmlformats.org/officeDocument/2006/relationships/hyperlink" Target="https://www.sjc.iq/view-en.79418/?__cf_chl_f_tk=zRiQ75Qnd0kw5kzjCATtj15.a3VH8mBFeuzcuqIgJYk-1783428312-1.0.1.1-_Bn3u6PL7Yq2ePoEklGTFfKcYs2oHxN1EwcdNXy0t.w" TargetMode="External"/><Relationship Id="rId42" Type="http://schemas.openxmlformats.org/officeDocument/2006/relationships/hyperlink" Target="https://www.simaetbhatha.com/hc/ar/articles/4821595761175-Inheritance-in-the-Iraqi-law" TargetMode="External"/><Relationship Id="rId47" Type="http://schemas.openxmlformats.org/officeDocument/2006/relationships/glossaryDocument" Target="glossary/document.xml"/><Relationship Id="rId50"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lghanim-lawfirm.com/en/2026/04/25/inheritance-shares/" TargetMode="External"/><Relationship Id="rId29" Type="http://schemas.openxmlformats.org/officeDocument/2006/relationships/hyperlink" Target="https://iraqiembassy.us/requirements-for-issuing-general-and-special-powers-of-attorney-poa/" TargetMode="External"/><Relationship Id="rId11" Type="http://schemas.openxmlformats.org/officeDocument/2006/relationships/hyperlink" Target="https://thearabweekly.com/new-iraqi-personal-status-code-criticised-making-women-second-class-citizens" TargetMode="External"/><Relationship Id="rId24" Type="http://schemas.openxmlformats.org/officeDocument/2006/relationships/hyperlink" Target="https://www.constituteproject.org/constitution/Iraq_2005" TargetMode="External"/><Relationship Id="rId32" Type="http://schemas.openxmlformats.org/officeDocument/2006/relationships/hyperlink" Target="https://jinhaagency.com/en/law/women-face-pressure-to-give-up-their-rights-to-inheritance-in-iraq-33797" TargetMode="External"/><Relationship Id="rId37" Type="http://schemas.openxmlformats.org/officeDocument/2006/relationships/hyperlink" Target="https://the-return.co/iraqs-new-id-policy-what-it-means-for-iraqis-living-abroad/" TargetMode="External"/><Relationship Id="rId40" Type="http://schemas.openxmlformats.org/officeDocument/2006/relationships/hyperlink" Target="https://www.simaetbhatha.com/en-us/articles/12557782528797" TargetMode="External"/><Relationship Id="rId45" Type="http://schemas.openxmlformats.org/officeDocument/2006/relationships/footer" Target="footer1.xml"/><Relationship Id="rId53" Type="http://schemas.openxmlformats.org/officeDocument/2006/relationships/customXml" Target="../customXml/item6.xml"/><Relationship Id="rId5" Type="http://schemas.openxmlformats.org/officeDocument/2006/relationships/webSettings" Target="webSettings.xml"/><Relationship Id="rId10" Type="http://schemas.openxmlformats.org/officeDocument/2006/relationships/hyperlink" Target="https://natlex.ilo.org/dyn/natlex2/natlex2/files/download/118969/4843.pdf" TargetMode="External"/><Relationship Id="rId19" Type="http://schemas.openxmlformats.org/officeDocument/2006/relationships/hyperlink" Target="https://www.hrw.org/news/2025/03/10/iraq-personal-status-law-amendment-sets-back-womens-rights" TargetMode="External"/><Relationship Id="rId31" Type="http://schemas.openxmlformats.org/officeDocument/2006/relationships/hyperlink" Target="https://web.semanticjournals.org/index.php/wos/article/view/867" TargetMode="External"/><Relationship Id="rId44" Type="http://schemas.openxmlformats.org/officeDocument/2006/relationships/header" Target="header2.xml"/><Relationship Id="rId52"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dx.doi.org/10.47832/2717-8293.34.20" TargetMode="External"/><Relationship Id="rId14" Type="http://schemas.openxmlformats.org/officeDocument/2006/relationships/hyperlink" Target="https://nirij.org/en/2024/11/10/a-long-history-of-deprivation-iraqi-women-denied-their-inheritance-rights-voluntarily-or-otherwise/" TargetMode="External"/><Relationship Id="rId22" Type="http://schemas.openxmlformats.org/officeDocument/2006/relationships/hyperlink" Target="https://iraqld.e-sjc-services.iq/legislations/showlegislation?lawbookid=52620" TargetMode="External"/><Relationship Id="rId27" Type="http://schemas.openxmlformats.org/officeDocument/2006/relationships/hyperlink" Target="https://iraqld.e-sjc-services.iq/legislations/showlegislation?lawbookid=12294" TargetMode="External"/><Relationship Id="rId30" Type="http://schemas.openxmlformats.org/officeDocument/2006/relationships/hyperlink" Target="https://www.kurdistan24.net/en/story/869069/controversy-over-iraqs-personal-status-law-continue-sparking-debate-on-child-custody-and-womens-rights" TargetMode="External"/><Relationship Id="rId35" Type="http://schemas.openxmlformats.org/officeDocument/2006/relationships/hyperlink" Target="https://muayadandassociates.com/ar/%D8%AD%D8%B5%D8%A9-%D8%A7%D9%84%D8%B2%D9%88%D8%AC%D8%A9-%D9%85%D9%86-%D9%85%D9%8A%D8%B1%D8%A7%D8%AB-%D8%B2%D9%88%D8%AC%D9%87%D8%A7-%D9%81%D9%8A-%D8%A7%D9%84%D9%82%D8%A7%D9%86%D9%88%D9%86-%D8%A7%D9%84/"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cybercrimejournal.com/menuscript/index.php/cybercrimejournal/article/view/188"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carnegieendowment.org/research/2025/11/the-politics-of-personal-status-law-in-egypt-and-iraq" TargetMode="External"/><Relationship Id="rId17" Type="http://schemas.openxmlformats.org/officeDocument/2006/relationships/hyperlink" Target="https://lb.boell.org/en/2014/03/03/iraqi-women-and-national-personal-status-law-statehood-participation" TargetMode="External"/><Relationship Id="rId25" Type="http://schemas.openxmlformats.org/officeDocument/2006/relationships/hyperlink" Target="https://www.eastlaws.com/legislation-full-text/ar/iraq/law/10-08-1969/no-83?type=1&amp;id=152749" TargetMode="External"/><Relationship Id="rId33" Type="http://schemas.openxmlformats.org/officeDocument/2006/relationships/hyperlink" Target="https://www.thesquarecentre.org/2025/03/12/from-personal-status-to-general-amnesty-a-controversial-political-process-in-iraq/" TargetMode="External"/><Relationship Id="rId38" Type="http://schemas.openxmlformats.org/officeDocument/2006/relationships/hyperlink" Target="https://shafaq.com/en/Report/New-Jaafari-Code-fuels-deep-division-in-Iraq" TargetMode="External"/><Relationship Id="rId46" Type="http://schemas.openxmlformats.org/officeDocument/2006/relationships/fontTable" Target="fontTable.xml"/><Relationship Id="rId20" Type="http://schemas.openxmlformats.org/officeDocument/2006/relationships/hyperlink" Target="https://iilhr.org/wp-content/uploads/2024/05/IILHR-Report_Reclaiming-Identity-Strategies-for-Civil-Doc-in-Iraq-v2_EN.pdf" TargetMode="External"/><Relationship Id="rId41" Type="http://schemas.openxmlformats.org/officeDocument/2006/relationships/hyperlink" Target="https://www.simaetbhatha.com/hc/en-us/articles/4821595761175-Inheritance-in-the-Iraqi-la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qualitynow.org/news/news-and-insights/iraqs-family-laws-are-being-rewritten-women-and-girls-are-paying-the-price/" TargetMode="External"/><Relationship Id="rId23" Type="http://schemas.openxmlformats.org/officeDocument/2006/relationships/hyperlink" Target="https://www.constituteproject.org/constitution/Iraq_2005?lang=ar" TargetMode="External"/><Relationship Id="rId28" Type="http://schemas.openxmlformats.org/officeDocument/2006/relationships/hyperlink" Target="https://iraqi-alamal.org/wp-content/uploads/2019/10/law.pdf" TargetMode="External"/><Relationship Id="rId36" Type="http://schemas.openxmlformats.org/officeDocument/2006/relationships/hyperlink" Target="https://jummar.media/en/2025/01/05/they-took-my-share-how-womens-inheritance-rights-are-taken-by-law-religion-and-tradition/" TargetMode="External"/><Relationship Id="rId4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7779C836C44ACF9231B2B0E497640B"/>
        <w:category>
          <w:name w:val="Yleiset"/>
          <w:gallery w:val="placeholder"/>
        </w:category>
        <w:types>
          <w:type w:val="bbPlcHdr"/>
        </w:types>
        <w:behaviors>
          <w:behavior w:val="content"/>
        </w:behaviors>
        <w:guid w:val="{B756B6B3-3BC0-474D-B9A8-96A88F9D8700}"/>
      </w:docPartPr>
      <w:docPartBody>
        <w:p w:rsidR="00CE1B05" w:rsidRDefault="0066655F">
          <w:pPr>
            <w:pStyle w:val="8F7779C836C44ACF9231B2B0E497640B"/>
          </w:pPr>
          <w:r w:rsidRPr="00AA10D2">
            <w:rPr>
              <w:rStyle w:val="Paikkamerkkiteksti"/>
            </w:rPr>
            <w:t>Kirjoita tekstiä napsauttamalla tai napauttamalla tätä.</w:t>
          </w:r>
        </w:p>
      </w:docPartBody>
    </w:docPart>
    <w:docPart>
      <w:docPartPr>
        <w:name w:val="AE983D71AB9743C59C9053FA85E243D2"/>
        <w:category>
          <w:name w:val="Yleiset"/>
          <w:gallery w:val="placeholder"/>
        </w:category>
        <w:types>
          <w:type w:val="bbPlcHdr"/>
        </w:types>
        <w:behaviors>
          <w:behavior w:val="content"/>
        </w:behaviors>
        <w:guid w:val="{8D806F1C-5CFE-44B7-BC71-D3838B6A0994}"/>
      </w:docPartPr>
      <w:docPartBody>
        <w:p w:rsidR="00CE1B05" w:rsidRDefault="0066655F">
          <w:pPr>
            <w:pStyle w:val="AE983D71AB9743C59C9053FA85E243D2"/>
          </w:pPr>
          <w:r w:rsidRPr="00AA10D2">
            <w:rPr>
              <w:rStyle w:val="Paikkamerkkiteksti"/>
            </w:rPr>
            <w:t>Kirjoita tekstiä napsauttamalla tai napauttamalla tätä.</w:t>
          </w:r>
        </w:p>
      </w:docPartBody>
    </w:docPart>
    <w:docPart>
      <w:docPartPr>
        <w:name w:val="0D61040A1E234B4AB6DCEE076115C4E4"/>
        <w:category>
          <w:name w:val="Yleiset"/>
          <w:gallery w:val="placeholder"/>
        </w:category>
        <w:types>
          <w:type w:val="bbPlcHdr"/>
        </w:types>
        <w:behaviors>
          <w:behavior w:val="content"/>
        </w:behaviors>
        <w:guid w:val="{BE48D45B-6C24-4A4C-BF16-EE7F1B17A2AF}"/>
      </w:docPartPr>
      <w:docPartBody>
        <w:p w:rsidR="00CE1B05" w:rsidRDefault="0066655F">
          <w:pPr>
            <w:pStyle w:val="0D61040A1E234B4AB6DCEE076115C4E4"/>
          </w:pPr>
          <w:r w:rsidRPr="00810134">
            <w:rPr>
              <w:rStyle w:val="Paikkamerkkiteksti"/>
              <w:lang w:val="en-GB"/>
            </w:rPr>
            <w:t>.</w:t>
          </w:r>
        </w:p>
      </w:docPartBody>
    </w:docPart>
    <w:docPart>
      <w:docPartPr>
        <w:name w:val="580278190E3A4CCF9EA9FE2BF99D8E7F"/>
        <w:category>
          <w:name w:val="Yleiset"/>
          <w:gallery w:val="placeholder"/>
        </w:category>
        <w:types>
          <w:type w:val="bbPlcHdr"/>
        </w:types>
        <w:behaviors>
          <w:behavior w:val="content"/>
        </w:behaviors>
        <w:guid w:val="{7B925905-C788-4B65-A44B-9546D1480BB0}"/>
      </w:docPartPr>
      <w:docPartBody>
        <w:p w:rsidR="00CE1B05" w:rsidRDefault="0066655F">
          <w:pPr>
            <w:pStyle w:val="580278190E3A4CCF9EA9FE2BF99D8E7F"/>
          </w:pPr>
          <w:r w:rsidRPr="00AA10D2">
            <w:rPr>
              <w:rStyle w:val="Paikkamerkkiteksti"/>
            </w:rPr>
            <w:t>Kirjoita tekstiä napsauttamalla tai napauttamalla tätä.</w:t>
          </w:r>
        </w:p>
      </w:docPartBody>
    </w:docPart>
    <w:docPart>
      <w:docPartPr>
        <w:name w:val="0392205F7812459CAC0CC493AA2A2056"/>
        <w:category>
          <w:name w:val="Yleiset"/>
          <w:gallery w:val="placeholder"/>
        </w:category>
        <w:types>
          <w:type w:val="bbPlcHdr"/>
        </w:types>
        <w:behaviors>
          <w:behavior w:val="content"/>
        </w:behaviors>
        <w:guid w:val="{24CD664A-A9C4-40A8-85E4-924BF5B692AF}"/>
      </w:docPartPr>
      <w:docPartBody>
        <w:p w:rsidR="00CE1B05" w:rsidRDefault="0066655F">
          <w:pPr>
            <w:pStyle w:val="0392205F7812459CAC0CC493AA2A2056"/>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8A"/>
    <w:rsid w:val="002F65C0"/>
    <w:rsid w:val="00366BFB"/>
    <w:rsid w:val="00574708"/>
    <w:rsid w:val="0066655F"/>
    <w:rsid w:val="008D568A"/>
    <w:rsid w:val="00AE599B"/>
    <w:rsid w:val="00B9696F"/>
    <w:rsid w:val="00CE1B05"/>
    <w:rsid w:val="00D77B87"/>
    <w:rsid w:val="00E71928"/>
    <w:rsid w:val="00F10A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8F7779C836C44ACF9231B2B0E497640B">
    <w:name w:val="8F7779C836C44ACF9231B2B0E497640B"/>
  </w:style>
  <w:style w:type="paragraph" w:customStyle="1" w:styleId="AE983D71AB9743C59C9053FA85E243D2">
    <w:name w:val="AE983D71AB9743C59C9053FA85E243D2"/>
  </w:style>
  <w:style w:type="paragraph" w:customStyle="1" w:styleId="0D61040A1E234B4AB6DCEE076115C4E4">
    <w:name w:val="0D61040A1E234B4AB6DCEE076115C4E4"/>
  </w:style>
  <w:style w:type="paragraph" w:customStyle="1" w:styleId="580278190E3A4CCF9EA9FE2BF99D8E7F">
    <w:name w:val="580278190E3A4CCF9EA9FE2BF99D8E7F"/>
  </w:style>
  <w:style w:type="paragraph" w:customStyle="1" w:styleId="0392205F7812459CAC0CC493AA2A2056">
    <w:name w:val="0392205F7812459CAC0CC493AA2A2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IRAQ,CIVIL LAW,FAMILIES,PROPRIETARY RIGHT,DEATH,NATIONAL LEGISLATION,GOVERNMENTS (COUNTRIES),COURTS OF LAW,CONFLICT RESOLUTION,JUDICIAL POWER,ISLAM,SHI'ISM,SECTARIANISM,RELIGIOUS GROUPS,WOMEN'S RIGHTS,WOMENS STATUS,ARABS,HUSBANDS,WIVES,CHILDREN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3b8426b1-dc90-4456-b276-ff771f530dac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2026-07-09T22:00:00+00:00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14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Irak / Perinnönjako ja vaaditut asiakirjat
Iraq / Distribution of estate and required documents
Kysymykset
1) Miten perinnönjako toimii Irakissa etenkin tilanteessa, jossa osakkaana on eronnut nainen?
2) Mitä asiakirjoja perilliseltä tarvitaan perinnönjakoa varten? 
3) Miten perintöä voi hakea ulkomailta käsin?
Questions
1) How does the distribution of the estate proceed in Iraq, particularly in a situation where an heir is a divorced woman?
2) What documents does an heir need to provide for the distribution of the estate? 
3) How can an heir manage the distribution of the estate from abroad? 
Miten perinnönjako toimii Irakissa etenkin tilanteessa, jossa osakkaana on eronnut nainen?
Kyselyvastauksessa käsitellään perinnönjakoa Irakin keskushallinnon alueella eikä asiaa käsitellä Irakin Kurdistanin alueella.
Irakissa perintöasiat kuuluvat henkilöoikeudellista asemaa säätävän lainsäädännön alle.[footnoteRef:1] Irakin lainsäädännössä perinnönjaosta</COIDocAbstract>
    <COIWSGroundsRejection xmlns="b5be3156-7e14-46bc-bfca-5c242eb3de3f" xsi:nil="true"/>
    <COIDocAuthors xmlns="e235e197-502c-49f1-8696-39d199cd5131">
      <Value>143</Value>
    </COIDocAuthors>
    <COIDocID xmlns="b5be3156-7e14-46bc-bfca-5c242eb3de3f">1076</COIDocID>
    <_dlc_DocId xmlns="e235e197-502c-49f1-8696-39d199cd5131">FI011-215589946-13074</_dlc_DocId>
    <_dlc_DocIdUrl xmlns="e235e197-502c-49f1-8696-39d199cd5131">
      <Url>https://coiadmin.euaa.europa.eu/administration/finland/_layouts/15/DocIdRedir.aspx?ID=FI011-215589946-13074</Url>
      <Description>FI011-215589946-13074</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44131CE7-234F-46B5-805A-A9809AE31E88}"/>
</file>

<file path=customXml/itemProps3.xml><?xml version="1.0" encoding="utf-8"?>
<ds:datastoreItem xmlns:ds="http://schemas.openxmlformats.org/officeDocument/2006/customXml" ds:itemID="{F8FF1DDF-A2C0-4499-8931-533E5EE18366}"/>
</file>

<file path=customXml/itemProps4.xml><?xml version="1.0" encoding="utf-8"?>
<ds:datastoreItem xmlns:ds="http://schemas.openxmlformats.org/officeDocument/2006/customXml" ds:itemID="{4A55B214-6A9F-444C-A252-DD6930DC17D1}"/>
</file>

<file path=customXml/itemProps5.xml><?xml version="1.0" encoding="utf-8"?>
<ds:datastoreItem xmlns:ds="http://schemas.openxmlformats.org/officeDocument/2006/customXml" ds:itemID="{DEB7A4AE-58FD-4B32-B177-A794CEB652BD}"/>
</file>

<file path=customXml/itemProps6.xml><?xml version="1.0" encoding="utf-8"?>
<ds:datastoreItem xmlns:ds="http://schemas.openxmlformats.org/officeDocument/2006/customXml" ds:itemID="{E9A9FB5B-202E-4A91-A87B-936801F553FF}"/>
</file>

<file path=docProps/app.xml><?xml version="1.0" encoding="utf-8"?>
<Properties xmlns="http://schemas.openxmlformats.org/officeDocument/2006/extended-properties" xmlns:vt="http://schemas.openxmlformats.org/officeDocument/2006/docPropsVTypes">
  <Template>Normal</Template>
  <TotalTime>0</TotalTime>
  <Pages>11</Pages>
  <Words>3693</Words>
  <Characters>29916</Characters>
  <Application>Microsoft Office Word</Application>
  <DocSecurity>0</DocSecurity>
  <Lines>249</Lines>
  <Paragraphs>67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Irak / Perinnönjako ja vaaditut asiakirjat Iraq / Distribution of estate and required documents / Distribution of estate and required documents</dc:title>
  <dc:subject/>
  <dc:creator/>
  <cp:keywords/>
  <cp:lastModifiedBy/>
  <cp:revision>1</cp:revision>
  <dcterms:created xsi:type="dcterms:W3CDTF">2026-07-08T10:55:00Z</dcterms:created>
  <dcterms:modified xsi:type="dcterms:W3CDTF">2026-07-10T17:22:00Z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b1882299-e214-4061-b77c-e2a2dcd2ea0a</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14;#Iraq|3b8426b1-dc90-4456-b276-ff771f530dac</vt:lpwstr>
  </property>
  <property fmtid="{D5CDD505-2E9C-101B-9397-08002B2CF9AE}" pid="9" name="COIInformTypeMM">
    <vt:lpwstr>4;#Response to COI Query|74af11f0-82c2-4825-bd8f-d6b1cac3a3aa</vt:lpwstr>
  </property>
</Properties>
</file>