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D0508" w14:textId="77777777" w:rsidR="00873A37" w:rsidRDefault="00873A37" w:rsidP="00873A37">
      <w:pPr>
        <w:spacing w:after="0"/>
        <w:rPr>
          <w:rStyle w:val="Heading1Char"/>
          <w:rFonts w:eastAsiaTheme="minorHAnsi" w:cstheme="minorHAnsi"/>
          <w:color w:val="auto"/>
          <w:sz w:val="20"/>
          <w:szCs w:val="22"/>
        </w:rPr>
      </w:pPr>
      <w:r>
        <w:rPr>
          <w:rStyle w:val="Heading1Char"/>
          <w:rFonts w:eastAsiaTheme="minorHAnsi" w:cstheme="minorHAnsi"/>
          <w:color w:val="auto"/>
          <w:sz w:val="20"/>
          <w:szCs w:val="22"/>
        </w:rPr>
        <w:t>Maatietopalvelu</w:t>
      </w:r>
    </w:p>
    <w:p w14:paraId="7446BA14" w14:textId="77777777" w:rsidR="00873A37" w:rsidRPr="00873A37" w:rsidRDefault="00873A37" w:rsidP="00873A37">
      <w:pPr>
        <w:spacing w:before="0"/>
        <w:rPr>
          <w:rStyle w:val="Heading1Char"/>
          <w:rFonts w:eastAsiaTheme="minorHAnsi" w:cstheme="minorHAnsi"/>
          <w:b w:val="0"/>
          <w:color w:val="auto"/>
          <w:sz w:val="20"/>
          <w:szCs w:val="22"/>
        </w:rPr>
      </w:pPr>
      <w:r>
        <w:rPr>
          <w:rStyle w:val="Heading1Char"/>
          <w:rFonts w:eastAsiaTheme="minorHAnsi" w:cstheme="minorHAnsi"/>
          <w:b w:val="0"/>
          <w:color w:val="auto"/>
          <w:sz w:val="20"/>
          <w:szCs w:val="22"/>
        </w:rPr>
        <w:t>Kyselyvastaus</w:t>
      </w:r>
    </w:p>
    <w:p w14:paraId="585D779E" w14:textId="77A6D33C" w:rsidR="00800AA9" w:rsidRPr="00800AA9" w:rsidRDefault="00800AA9" w:rsidP="00C348A3">
      <w:pPr>
        <w:spacing w:before="0" w:after="0"/>
      </w:pPr>
      <w:r w:rsidRPr="00BB7F45">
        <w:rPr>
          <w:b/>
        </w:rPr>
        <w:t>Asiakirjan tunnus:</w:t>
      </w:r>
      <w:r>
        <w:t xml:space="preserve"> KT</w:t>
      </w:r>
      <w:r w:rsidR="00403CDE">
        <w:t>1361</w:t>
      </w:r>
    </w:p>
    <w:p w14:paraId="14C2C709" w14:textId="09C0F375" w:rsidR="00800AA9" w:rsidRDefault="00800AA9" w:rsidP="00C348A3">
      <w:pPr>
        <w:spacing w:before="0" w:after="0"/>
      </w:pPr>
      <w:r w:rsidRPr="00BB7F45">
        <w:rPr>
          <w:b/>
        </w:rPr>
        <w:t>Päivämäärä</w:t>
      </w:r>
      <w:r>
        <w:t xml:space="preserve">: </w:t>
      </w:r>
      <w:r w:rsidR="00403CDE">
        <w:t>27</w:t>
      </w:r>
      <w:r w:rsidR="00810134">
        <w:t>.</w:t>
      </w:r>
      <w:r w:rsidR="00403CDE">
        <w:t>5</w:t>
      </w:r>
      <w:r w:rsidR="00810134">
        <w:t>.</w:t>
      </w:r>
      <w:r w:rsidR="00403CDE">
        <w:t>2026</w:t>
      </w:r>
    </w:p>
    <w:p w14:paraId="0F5A678F" w14:textId="59CA54E2" w:rsidR="00800AA9" w:rsidRPr="00800AA9" w:rsidRDefault="00800AA9" w:rsidP="00C348A3">
      <w:pPr>
        <w:spacing w:before="0"/>
        <w:rPr>
          <w:rStyle w:val="Heading1Char"/>
          <w:rFonts w:eastAsiaTheme="minorHAnsi" w:cstheme="minorHAnsi"/>
          <w:b w:val="0"/>
          <w:color w:val="auto"/>
          <w:sz w:val="20"/>
          <w:szCs w:val="22"/>
        </w:rPr>
      </w:pPr>
      <w:r w:rsidRPr="00BB7F45">
        <w:rPr>
          <w:b/>
        </w:rPr>
        <w:t>Julkisuus:</w:t>
      </w:r>
      <w:r>
        <w:t xml:space="preserve"> Julkinen </w:t>
      </w:r>
    </w:p>
    <w:p w14:paraId="1A4390C6" w14:textId="77777777" w:rsidR="00800AA9" w:rsidRPr="00633BBD" w:rsidRDefault="00262E54" w:rsidP="00800AA9">
      <w:pPr>
        <w:rPr>
          <w:rStyle w:val="Heading1Char"/>
          <w:b w:val="0"/>
          <w:sz w:val="20"/>
          <w:szCs w:val="20"/>
        </w:rPr>
      </w:pPr>
      <w:r>
        <w:rPr>
          <w:b/>
        </w:rPr>
        <w:pict w14:anchorId="0DA77B4E">
          <v:rect id="_x0000_i1025" style="width:0;height:1.5pt" o:hralign="center" o:hrstd="t" o:hr="t" fillcolor="#a0a0a0" stroked="f"/>
        </w:pict>
      </w:r>
    </w:p>
    <w:p w14:paraId="2D15BBC5" w14:textId="66A0A1BE" w:rsidR="008020E6" w:rsidRPr="00543F66" w:rsidRDefault="00262E54" w:rsidP="00543F66">
      <w:pPr>
        <w:pStyle w:val="POTSIKKO"/>
        <w:rPr>
          <w:rStyle w:val="Heading1Char"/>
          <w:rFonts w:cs="Times New Roman"/>
          <w:b/>
          <w:szCs w:val="24"/>
        </w:rPr>
      </w:pPr>
      <w:sdt>
        <w:sdtPr>
          <w:rPr>
            <w:rStyle w:val="Heading1Char"/>
            <w:rFonts w:cs="Times New Roman"/>
            <w:b/>
            <w:szCs w:val="24"/>
          </w:rPr>
          <w:alias w:val="Maa / Otsikko"/>
          <w:tag w:val="Otsikko"/>
          <w:id w:val="597070427"/>
          <w:placeholder>
            <w:docPart w:val="DF3456BE083E4CD89781505F99F577C1"/>
          </w:placeholder>
          <w:text/>
        </w:sdtPr>
        <w:sdtEndPr>
          <w:rPr>
            <w:rStyle w:val="Heading1Char"/>
          </w:rPr>
        </w:sdtEndPr>
        <w:sdtContent>
          <w:r w:rsidR="005F7321">
            <w:rPr>
              <w:rStyle w:val="Heading1Char"/>
              <w:rFonts w:cs="Times New Roman"/>
              <w:b/>
              <w:szCs w:val="24"/>
            </w:rPr>
            <w:t>Turkki / Rangaistuslaitoksen määräytyminen, suoritettava rangaistus ja vankilaolosuhteet ns. tavallisille vangeille</w:t>
          </w:r>
        </w:sdtContent>
      </w:sdt>
    </w:p>
    <w:sdt>
      <w:sdtPr>
        <w:rPr>
          <w:rStyle w:val="Heading1Char"/>
          <w:rFonts w:cs="Times New Roman"/>
          <w:b/>
          <w:szCs w:val="24"/>
          <w:lang w:val="en-US"/>
        </w:rPr>
        <w:alias w:val="Country / Title in English"/>
        <w:tag w:val="Country / Title in English"/>
        <w:id w:val="2146699517"/>
        <w:lock w:val="sdtLocked"/>
        <w:placeholder>
          <w:docPart w:val="B68B1FB7AB2F480D97CB1C144BBE9D81"/>
        </w:placeholder>
        <w:text/>
      </w:sdtPr>
      <w:sdtEndPr>
        <w:rPr>
          <w:rStyle w:val="Heading1Char"/>
        </w:rPr>
      </w:sdtEndPr>
      <w:sdtContent>
        <w:p w14:paraId="35D1451E" w14:textId="7F94AE0D" w:rsidR="00082DFE" w:rsidRPr="00403CDE" w:rsidRDefault="005F7321" w:rsidP="00543F66">
          <w:pPr>
            <w:pStyle w:val="POTSIKKO"/>
            <w:rPr>
              <w:lang w:val="en-US"/>
            </w:rPr>
          </w:pPr>
          <w:r>
            <w:rPr>
              <w:rStyle w:val="Heading1Char"/>
              <w:rFonts w:cs="Times New Roman"/>
              <w:b/>
              <w:szCs w:val="24"/>
              <w:lang w:val="en-US"/>
            </w:rPr>
            <w:t>Türkiye / Determination of the correctional facility, the sentence to be served, and prison conditions for so-called ordinary inmates</w:t>
          </w:r>
        </w:p>
      </w:sdtContent>
    </w:sdt>
    <w:p w14:paraId="38554D7E" w14:textId="77777777" w:rsidR="00082DFE" w:rsidRDefault="00262E54" w:rsidP="00082DFE">
      <w:pPr>
        <w:rPr>
          <w:b/>
        </w:rPr>
      </w:pPr>
      <w:r>
        <w:rPr>
          <w:b/>
        </w:rPr>
        <w:pict w14:anchorId="6D321D73">
          <v:rect id="_x0000_i1026" style="width:0;height:1.5pt" o:hralign="center" o:hrstd="t" o:hr="t" fillcolor="#a0a0a0" stroked="f"/>
        </w:pict>
      </w:r>
    </w:p>
    <w:p w14:paraId="3B8A9A17"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C90B39B3B9B49F983C5C8CF60C9D1F7"/>
        </w:placeholder>
      </w:sdtPr>
      <w:sdtEndPr>
        <w:rPr>
          <w:rStyle w:val="DefaultParagraphFont"/>
          <w:color w:val="404040" w:themeColor="text1" w:themeTint="BF"/>
        </w:rPr>
      </w:sdtEndPr>
      <w:sdtContent>
        <w:sdt>
          <w:sdtPr>
            <w:rPr>
              <w:rStyle w:val="KysymyksetChar"/>
            </w:rPr>
            <w:alias w:val="Questions"/>
            <w:tag w:val="Fill in the questions here"/>
            <w:id w:val="353243802"/>
            <w:placeholder>
              <w:docPart w:val="1259FF838DA44E469D7E6C75EC69F00F"/>
            </w:placeholder>
            <w:text w:multiLine="1"/>
          </w:sdtPr>
          <w:sdtEndPr>
            <w:rPr>
              <w:rStyle w:val="KysymyksetChar"/>
            </w:rPr>
          </w:sdtEndPr>
          <w:sdtContent>
            <w:p w14:paraId="4F462A7D" w14:textId="70D299E4" w:rsidR="00810134" w:rsidRPr="001678AD" w:rsidRDefault="005F7321" w:rsidP="00403CDE">
              <w:pPr>
                <w:pStyle w:val="Quote"/>
                <w:ind w:left="0"/>
                <w:jc w:val="left"/>
                <w:rPr>
                  <w:i w:val="0"/>
                  <w:iCs w:val="0"/>
                  <w:color w:val="000000" w:themeColor="text1"/>
                </w:rPr>
              </w:pPr>
              <w:r>
                <w:rPr>
                  <w:rStyle w:val="KysymyksetChar"/>
                </w:rPr>
                <w:br/>
                <w:t>1) Miten rikoksesta tuomitun sijoittaminen/määrääminen vankilaan tapahtuu? Voiko mahdollisen rangaistuslaitoksen tietää etukäteen?</w:t>
              </w:r>
              <w:r>
                <w:rPr>
                  <w:rStyle w:val="KysymyksetChar"/>
                </w:rPr>
                <w:br/>
              </w:r>
              <w:r>
                <w:rPr>
                  <w:rStyle w:val="KysymyksetChar"/>
                </w:rPr>
                <w:br/>
                <w:t xml:space="preserve">2) Jos kyse on ns. tavallisesta rikoksesta ja tuomio alle 3 vuotta, sijoitetaanko vanki suljettuun vai avovankilaan? </w:t>
              </w:r>
              <w:r w:rsidR="00147B96">
                <w:rPr>
                  <w:rStyle w:val="KysymyksetChar"/>
                </w:rPr>
                <w:t>Onko tuomitun</w:t>
              </w:r>
              <w:r>
                <w:rPr>
                  <w:rStyle w:val="KysymyksetChar"/>
                </w:rPr>
                <w:t xml:space="preserve"> mahdollista päästä ennen määrätyn vankeusajan päättymistä valvottuun vapauteen/ehdonalaiseen?</w:t>
              </w:r>
              <w:r>
                <w:rPr>
                  <w:rStyle w:val="KysymyksetChar"/>
                </w:rPr>
                <w:br/>
              </w:r>
              <w:r>
                <w:rPr>
                  <w:rStyle w:val="KysymyksetChar"/>
                </w:rPr>
                <w:br/>
                <w:t>3)</w:t>
              </w:r>
              <w:r w:rsidR="00F85E19">
                <w:rPr>
                  <w:rStyle w:val="KysymyksetChar"/>
                </w:rPr>
                <w:t xml:space="preserve"> Kohdistavatko viranomaiset väkivaltaa tietystä taustan omaaviin vankeihin</w:t>
              </w:r>
              <w:r>
                <w:rPr>
                  <w:rStyle w:val="KysymyksetChar"/>
                </w:rPr>
                <w:t xml:space="preserve">? </w:t>
              </w:r>
              <w:r w:rsidR="00F85E19">
                <w:rPr>
                  <w:rStyle w:val="KysymyksetChar"/>
                </w:rPr>
                <w:t>Kohdistavatko viranomaiset väkivaltaa kurdeihin</w:t>
              </w:r>
              <w:r>
                <w:rPr>
                  <w:rStyle w:val="KysymyksetChar"/>
                </w:rPr>
                <w:t>? Onko saatavilla tietoa siitä, että kurdeja kohdeltaisiin Turkin vankiloissa systemaattisesti tavalla, joka vakavasti rikkoisi perus- ja ihmisoikeuksia?</w:t>
              </w:r>
              <w:r>
                <w:rPr>
                  <w:rStyle w:val="KysymyksetChar"/>
                </w:rPr>
                <w:br/>
              </w:r>
              <w:r>
                <w:rPr>
                  <w:rStyle w:val="KysymyksetChar"/>
                </w:rPr>
                <w:br/>
                <w:t>4) Onko tiedossa, että väkivaltaa olisi kohdistettu väärennösrikoksista tuomittuihin</w:t>
              </w:r>
              <w:r w:rsidR="00147B96">
                <w:rPr>
                  <w:rStyle w:val="KysymyksetChar"/>
                </w:rPr>
                <w:t xml:space="preserve"> tai ateisteihin</w:t>
              </w:r>
              <w:r>
                <w:rPr>
                  <w:rStyle w:val="KysymyksetChar"/>
                </w:rPr>
                <w:t>?</w:t>
              </w:r>
              <w:r>
                <w:rPr>
                  <w:rStyle w:val="KysymyksetChar"/>
                </w:rPr>
                <w:br/>
              </w:r>
              <w:r>
                <w:rPr>
                  <w:rStyle w:val="KysymyksetChar"/>
                </w:rPr>
                <w:br/>
                <w:t>5) Millaiset olosuhteet ovat Turkin vankiloissa tavallisille vangeille</w:t>
              </w:r>
              <w:r w:rsidR="00147B96">
                <w:rPr>
                  <w:rStyle w:val="KysymyksetChar"/>
                </w:rPr>
                <w:t>?</w:t>
              </w:r>
              <w:r>
                <w:rPr>
                  <w:rStyle w:val="KysymyksetChar"/>
                </w:rPr>
                <w:t xml:space="preserve"> </w:t>
              </w:r>
              <w:r w:rsidR="00147B96">
                <w:rPr>
                  <w:rStyle w:val="KysymyksetChar"/>
                </w:rPr>
                <w:t>Kuinka yleistä on</w:t>
              </w:r>
              <w:r>
                <w:rPr>
                  <w:rStyle w:val="KysymyksetChar"/>
                </w:rPr>
                <w:t xml:space="preserve"> viranomaisten harjoittama väkivalta heitä kohtaan?</w:t>
              </w:r>
            </w:p>
          </w:sdtContent>
        </w:sdt>
      </w:sdtContent>
    </w:sdt>
    <w:p w14:paraId="51D8D7D9" w14:textId="77777777" w:rsidR="00082DFE" w:rsidRPr="009C6740" w:rsidRDefault="00082DFE" w:rsidP="00C348A3">
      <w:pPr>
        <w:pStyle w:val="Numeroimatonotsikko"/>
        <w:rPr>
          <w:lang w:val="en-US"/>
        </w:rPr>
      </w:pPr>
      <w:r w:rsidRPr="009C6740">
        <w:rPr>
          <w:lang w:val="en-US"/>
        </w:rPr>
        <w:t>Questions</w:t>
      </w:r>
    </w:p>
    <w:sdt>
      <w:sdtPr>
        <w:rPr>
          <w:rStyle w:val="KysymyksetChar"/>
          <w:lang w:val="en-US"/>
        </w:rPr>
        <w:alias w:val="Questions"/>
        <w:tag w:val="Fill in the questions here"/>
        <w:id w:val="-849104524"/>
        <w:lock w:val="sdtLocked"/>
        <w:placeholder>
          <w:docPart w:val="0A72F4B307DB4695842253808709EB46"/>
        </w:placeholder>
        <w:text w:multiLine="1"/>
      </w:sdtPr>
      <w:sdtEndPr>
        <w:rPr>
          <w:rStyle w:val="KysymyksetChar"/>
        </w:rPr>
      </w:sdtEndPr>
      <w:sdtContent>
        <w:p w14:paraId="06DD82E4" w14:textId="4601AF0A" w:rsidR="00082DFE" w:rsidRPr="00403CDE" w:rsidRDefault="00F85E19" w:rsidP="00403CDE">
          <w:pPr>
            <w:pStyle w:val="Quote"/>
            <w:ind w:left="0"/>
            <w:jc w:val="left"/>
            <w:rPr>
              <w:rStyle w:val="KysymyksetChar"/>
              <w:lang w:val="en-US"/>
            </w:rPr>
          </w:pPr>
          <w:r w:rsidRPr="002A1856">
            <w:rPr>
              <w:rStyle w:val="KysymyksetChar"/>
              <w:lang w:val="en-US"/>
            </w:rPr>
            <w:br/>
            <w:t>1) How is a convicted criminal assigned to a prison? Is it possible to know in advance which prison they will be assigned to?</w:t>
          </w:r>
          <w:r w:rsidRPr="002A1856">
            <w:rPr>
              <w:rStyle w:val="KysymyksetChar"/>
              <w:lang w:val="en-US"/>
            </w:rPr>
            <w:br/>
          </w:r>
          <w:r w:rsidRPr="002A1856">
            <w:rPr>
              <w:rStyle w:val="KysymyksetChar"/>
              <w:lang w:val="en-US"/>
            </w:rPr>
            <w:br/>
            <w:t xml:space="preserve">2) If the sentence is less than 3 years, is the prisoner placed in a closed or open prison? </w:t>
          </w:r>
          <w:r w:rsidR="0030446C" w:rsidRPr="002A1856">
            <w:rPr>
              <w:rStyle w:val="KysymyksetChar"/>
              <w:lang w:val="en-US"/>
            </w:rPr>
            <w:t>Is</w:t>
          </w:r>
          <w:r w:rsidRPr="002A1856">
            <w:rPr>
              <w:rStyle w:val="KysymyksetChar"/>
              <w:lang w:val="en-US"/>
            </w:rPr>
            <w:t xml:space="preserve"> it possible for </w:t>
          </w:r>
          <w:r w:rsidR="00147B96" w:rsidRPr="002A1856">
            <w:rPr>
              <w:rStyle w:val="KysymyksetChar"/>
              <w:lang w:val="en-US"/>
            </w:rPr>
            <w:t>convicts to</w:t>
          </w:r>
          <w:r w:rsidRPr="002A1856">
            <w:rPr>
              <w:rStyle w:val="KysymyksetChar"/>
              <w:lang w:val="en-US"/>
            </w:rPr>
            <w:t xml:space="preserve"> be released on supervised release or parole </w:t>
          </w:r>
          <w:r w:rsidRPr="002A1856">
            <w:rPr>
              <w:rStyle w:val="KysymyksetChar"/>
              <w:lang w:val="en-US"/>
            </w:rPr>
            <w:lastRenderedPageBreak/>
            <w:t>before the end of his sentence?</w:t>
          </w:r>
          <w:r w:rsidRPr="002A1856">
            <w:rPr>
              <w:rStyle w:val="KysymyksetChar"/>
              <w:lang w:val="en-US"/>
            </w:rPr>
            <w:br/>
          </w:r>
          <w:r w:rsidRPr="002A1856">
            <w:rPr>
              <w:rStyle w:val="KysymyksetChar"/>
              <w:lang w:val="en-US"/>
            </w:rPr>
            <w:br/>
            <w:t>3) Do the authorities target prisoners from certain ethnic backgrounds with violence? Do the authorities target Kurds with violence? Is there any information available indicating that Kurds are systematically treated in Turkish prisons in a manner that seriously violates fundamental and human rights?</w:t>
          </w:r>
          <w:r w:rsidRPr="002A1856">
            <w:rPr>
              <w:rStyle w:val="KysymyksetChar"/>
              <w:lang w:val="en-US"/>
            </w:rPr>
            <w:br/>
          </w:r>
          <w:r w:rsidRPr="002A1856">
            <w:rPr>
              <w:rStyle w:val="KysymyksetChar"/>
              <w:lang w:val="en-US"/>
            </w:rPr>
            <w:br/>
            <w:t>4) Is there any information indicating that violence has been directed at those convicted of forgery</w:t>
          </w:r>
          <w:r w:rsidR="00147B96" w:rsidRPr="002A1856">
            <w:rPr>
              <w:rStyle w:val="KysymyksetChar"/>
              <w:lang w:val="en-US"/>
            </w:rPr>
            <w:t xml:space="preserve"> or people who are atheists</w:t>
          </w:r>
          <w:r w:rsidRPr="002A1856">
            <w:rPr>
              <w:rStyle w:val="KysymyksetChar"/>
              <w:lang w:val="en-US"/>
            </w:rPr>
            <w:t>?</w:t>
          </w:r>
          <w:r w:rsidRPr="002A1856">
            <w:rPr>
              <w:rStyle w:val="KysymyksetChar"/>
              <w:lang w:val="en-US"/>
            </w:rPr>
            <w:br/>
          </w:r>
          <w:r w:rsidRPr="002A1856">
            <w:rPr>
              <w:rStyle w:val="KysymyksetChar"/>
              <w:lang w:val="en-US"/>
            </w:rPr>
            <w:br/>
            <w:t>5) What are the conditions like in Turkish prisons for ordinary prisoners</w:t>
          </w:r>
          <w:r w:rsidR="00147B96" w:rsidRPr="002A1856">
            <w:rPr>
              <w:rStyle w:val="KysymyksetChar"/>
              <w:lang w:val="en-US"/>
            </w:rPr>
            <w:t>?</w:t>
          </w:r>
          <w:r w:rsidRPr="002A1856">
            <w:rPr>
              <w:rStyle w:val="KysymyksetChar"/>
              <w:lang w:val="en-US"/>
            </w:rPr>
            <w:t xml:space="preserve"> </w:t>
          </w:r>
          <w:r w:rsidR="00147B96" w:rsidRPr="002A1856">
            <w:rPr>
              <w:rStyle w:val="KysymyksetChar"/>
              <w:lang w:val="en-US"/>
            </w:rPr>
            <w:t>H</w:t>
          </w:r>
          <w:r w:rsidRPr="002A1856">
            <w:rPr>
              <w:rStyle w:val="KysymyksetChar"/>
              <w:lang w:val="en-US"/>
            </w:rPr>
            <w:t>ow common is violence by the authorities against them?</w:t>
          </w:r>
        </w:p>
      </w:sdtContent>
    </w:sdt>
    <w:p w14:paraId="7AF31D3F" w14:textId="77777777" w:rsidR="00082DFE" w:rsidRPr="00082DFE" w:rsidRDefault="00262E54" w:rsidP="00082DFE">
      <w:pPr>
        <w:pStyle w:val="LeiptekstiMigri"/>
        <w:ind w:left="0"/>
        <w:rPr>
          <w:lang w:val="en-GB"/>
        </w:rPr>
      </w:pPr>
      <w:r>
        <w:rPr>
          <w:b/>
        </w:rPr>
        <w:pict w14:anchorId="36A0B4DF">
          <v:rect id="_x0000_i1027" style="width:0;height:1.5pt" o:hralign="center" o:hrstd="t" o:hr="t" fillcolor="#a0a0a0" stroked="f"/>
        </w:pict>
      </w:r>
    </w:p>
    <w:p w14:paraId="5BB5F179" w14:textId="4379B502" w:rsidR="00543F66" w:rsidRDefault="00D321BE" w:rsidP="00543F66">
      <w:pPr>
        <w:pStyle w:val="Heading1"/>
      </w:pPr>
      <w:bookmarkStart w:id="0" w:name="_Hlk129259295"/>
      <w:r w:rsidRPr="00D321BE">
        <w:t>Miten rikoksesta tuomitun sijoittaminen/määrääminen vankilaan tapahtuu? Voiko mahdollisen rangaistuslaitoksen tietää etukäteen?</w:t>
      </w:r>
    </w:p>
    <w:p w14:paraId="2F21F402" w14:textId="209721DA" w:rsidR="00A569E1" w:rsidRDefault="00A569E1" w:rsidP="00A569E1">
      <w:r>
        <w:t xml:space="preserve">Turkin vuoden </w:t>
      </w:r>
      <w:r w:rsidR="009D54B3">
        <w:t>2004</w:t>
      </w:r>
      <w:r w:rsidR="005A3D0A" w:rsidRPr="005A3D0A">
        <w:t xml:space="preserve"> rangaistusten ja turvatoimenpiteiden täytäntöönpanoa koskevan lain numero 5275 23. artiklan mukaan </w:t>
      </w:r>
      <w:r w:rsidR="00130BB1">
        <w:t xml:space="preserve">rangaistuslaitoksen määrittely tapahtuu vangista tehtävän arvioinnin perusteella. </w:t>
      </w:r>
      <w:r w:rsidR="005A3D0A">
        <w:t>Arvioinnin tekee eri alojen asiantuntijoista koostuva lautakunta erillisissä arviointikeskuksissa tai suljettujen vankeinhoitolaitoksissa olevilla osastoilla.</w:t>
      </w:r>
      <w:r w:rsidR="005A3D0A">
        <w:rPr>
          <w:rStyle w:val="FootnoteReference"/>
        </w:rPr>
        <w:footnoteReference w:id="1"/>
      </w:r>
      <w:r w:rsidR="005A3D0A">
        <w:t xml:space="preserve"> </w:t>
      </w:r>
      <w:r w:rsidR="00130BB1">
        <w:t>Arvioinnissa tarkastellaan va</w:t>
      </w:r>
      <w:r w:rsidR="00FA6918">
        <w:t>nkien</w:t>
      </w:r>
      <w:r w:rsidR="00130BB1">
        <w:t xml:space="preserve"> henkilökohtaisia ominaisuuksia, heidän </w:t>
      </w:r>
      <w:r w:rsidR="00FA6918" w:rsidRPr="00FA6918">
        <w:t>fyysistä ja henkistä kuntoa ja terveydentilaa</w:t>
      </w:r>
      <w:r w:rsidR="00130BB1">
        <w:t xml:space="preserve">, elämäntilannetta ennen rikoksen tekoa, sosiaalista ympäristöä, ihmissuhteita, ammatillista toimintaa, moraalisia taipumuksia, näkemystä rikollisuudesta, sekä rangaistuksen pituutta ja rikoksen luonnetta. Vangit sijoitetaan ”heille sopiviin rangaistuslaitoksiin” </w:t>
      </w:r>
      <w:r w:rsidR="00130BB1" w:rsidRPr="00130BB1">
        <w:t xml:space="preserve">ja heitä koskevat rangaistuksen täytäntöönpano- ja sopeuttamisjärjestelmät </w:t>
      </w:r>
      <w:r w:rsidR="00147B96">
        <w:t>määritellään</w:t>
      </w:r>
      <w:r w:rsidR="00130BB1" w:rsidRPr="00130BB1">
        <w:t xml:space="preserve"> tämän mukaisesti</w:t>
      </w:r>
      <w:r w:rsidR="00130BB1">
        <w:t>.</w:t>
      </w:r>
      <w:r w:rsidR="008577D2">
        <w:rPr>
          <w:rStyle w:val="FootnoteReference"/>
        </w:rPr>
        <w:footnoteReference w:id="2"/>
      </w:r>
      <w:r w:rsidR="00B936F7">
        <w:t xml:space="preserve"> </w:t>
      </w:r>
      <w:r w:rsidR="00147B96" w:rsidRPr="000451BB">
        <w:t xml:space="preserve">23. artiklan </w:t>
      </w:r>
      <w:r w:rsidR="00FE77F5">
        <w:t xml:space="preserve">1. </w:t>
      </w:r>
      <w:r w:rsidR="000451BB" w:rsidRPr="000451BB">
        <w:t xml:space="preserve">pykälän </w:t>
      </w:r>
      <w:r w:rsidR="008577D2" w:rsidRPr="000451BB">
        <w:t xml:space="preserve">kohdan </w:t>
      </w:r>
      <w:r w:rsidR="00FE77F5">
        <w:t>g</w:t>
      </w:r>
      <w:r w:rsidR="008577D2">
        <w:t xml:space="preserve"> mukaan v</w:t>
      </w:r>
      <w:r w:rsidR="008577D2" w:rsidRPr="008577D2">
        <w:t xml:space="preserve">angin arvioinnin tehnyt </w:t>
      </w:r>
      <w:r w:rsidR="00FA6918">
        <w:t>arviointikeskus</w:t>
      </w:r>
      <w:r w:rsidR="008577D2" w:rsidRPr="008577D2">
        <w:t xml:space="preserve"> lähettää tuomittua koskevan raportin ja lausuntonsa oikeusministeriölle. Arvioinnin tuloksen perusteella ministeriö päättää, mihin rangaistuksen täytäntöönpanolaitokseen tuomittu </w:t>
      </w:r>
      <w:r w:rsidR="00965A7A">
        <w:t>määrätään</w:t>
      </w:r>
      <w:r w:rsidR="008577D2" w:rsidRPr="008577D2">
        <w:t>.</w:t>
      </w:r>
      <w:r w:rsidR="00130BB1">
        <w:rPr>
          <w:rStyle w:val="FootnoteReference"/>
        </w:rPr>
        <w:footnoteReference w:id="3"/>
      </w:r>
    </w:p>
    <w:p w14:paraId="33B91514" w14:textId="3365C3E3" w:rsidR="00352B5B" w:rsidRDefault="00352B5B" w:rsidP="00A569E1">
      <w:r>
        <w:t xml:space="preserve">Lain numero 5275 22. artiklan mukaan laitos johon vanki sijoitetaan ilmoittaa </w:t>
      </w:r>
      <w:r w:rsidR="00FA6918">
        <w:t xml:space="preserve">rangaistuksen suorituspaikan </w:t>
      </w:r>
      <w:r>
        <w:t xml:space="preserve">vangille kirjallisesti ja suullisesti vankia sisäänkirjautumisen yhteydessä. </w:t>
      </w:r>
      <w:r w:rsidRPr="00352B5B">
        <w:t>Kun vanki otetaan rangaistuslaitokseen, siirretään toiseen laitokseen tai sijoitetaan sairaalaan, asiasta on hänen pyynnöstään ilmoitettava hänen perheelleen tai hänen nimeämilleen henkilöille</w:t>
      </w:r>
      <w:r w:rsidR="00FA6918">
        <w:t>. J</w:t>
      </w:r>
      <w:r w:rsidRPr="003201C9">
        <w:t>os vanki on ulkomaalainen, sen valtion diplomaattiselle edustustolle tai konsulaatille, jonka kansalainen hän on, ellei hän vastusta sitä kirjallisesti.</w:t>
      </w:r>
      <w:r w:rsidRPr="003201C9">
        <w:rPr>
          <w:rStyle w:val="FootnoteReference"/>
        </w:rPr>
        <w:footnoteReference w:id="4"/>
      </w:r>
    </w:p>
    <w:p w14:paraId="6DFD84E6" w14:textId="229F653A" w:rsidR="00543F66" w:rsidRDefault="00DD42AB" w:rsidP="00DD42AB">
      <w:pPr>
        <w:pStyle w:val="Heading1"/>
      </w:pPr>
      <w:r w:rsidRPr="00DD42AB">
        <w:t xml:space="preserve">Jos kyse on ns. tavallisesta rikoksesta ja tuomio alle 3 vuotta, sijoitetaanko vanki suljettuun vai avovankilaan? </w:t>
      </w:r>
      <w:r w:rsidR="00FF0F92">
        <w:t>Onko vangin</w:t>
      </w:r>
      <w:r w:rsidRPr="00DD42AB">
        <w:t xml:space="preserve"> </w:t>
      </w:r>
      <w:r w:rsidRPr="00DD42AB">
        <w:lastRenderedPageBreak/>
        <w:t>mahdollista päästä ennen määrätyn vankeusajan päättymistä valvottuun vapauteen/ehdonalaiseen?</w:t>
      </w:r>
    </w:p>
    <w:p w14:paraId="3DDD0802" w14:textId="77777777" w:rsidR="00486F23" w:rsidRDefault="00997BFA" w:rsidP="00144604">
      <w:r>
        <w:t>Turkin vuoden 200</w:t>
      </w:r>
      <w:r w:rsidR="00965A7A">
        <w:t>4</w:t>
      </w:r>
      <w:r>
        <w:t xml:space="preserve"> lain numero 5275 </w:t>
      </w:r>
      <w:r w:rsidR="00B936F7">
        <w:t xml:space="preserve">23. artiklan mukaan </w:t>
      </w:r>
      <w:r w:rsidR="00B936F7" w:rsidRPr="00B936F7">
        <w:t xml:space="preserve">vangit sijoitetaan korkean turvallisuuden, keskitason turvallisuuden tai avoimiin rangaistuslaitoksiin rikostyypin, heidän osoittamiensa taipumusten sekä heidän asenteidensa ja käyttäytymisensä </w:t>
      </w:r>
      <w:r w:rsidR="00965A7A">
        <w:t>perusteella</w:t>
      </w:r>
      <w:r w:rsidR="00851E3B">
        <w:t>.</w:t>
      </w:r>
      <w:r w:rsidR="00851E3B">
        <w:rPr>
          <w:rStyle w:val="FootnoteReference"/>
        </w:rPr>
        <w:footnoteReference w:id="5"/>
      </w:r>
    </w:p>
    <w:p w14:paraId="5D28202D" w14:textId="5EF89705" w:rsidR="001B7F08" w:rsidRDefault="001B7F08" w:rsidP="00144604">
      <w:r>
        <w:t>Lakiin numero 5275</w:t>
      </w:r>
      <w:r w:rsidR="00327764">
        <w:t xml:space="preserve"> 14. artiklaan</w:t>
      </w:r>
      <w:r>
        <w:t xml:space="preserve"> vuonna 2020 voimaan tulleen muutoksen mukaan avovankilaan tuomitaan h</w:t>
      </w:r>
      <w:r w:rsidRPr="001B7F08">
        <w:t>enkilöt, jotka on tuomittu tahallisista rikoksista, joista on määrätty yhteensä enintään kolmen vuoden vankeusrangaistus</w:t>
      </w:r>
      <w:r w:rsidR="005974A4">
        <w:t xml:space="preserve">, </w:t>
      </w:r>
      <w:proofErr w:type="gramStart"/>
      <w:r w:rsidR="005974A4">
        <w:t>henkilöt</w:t>
      </w:r>
      <w:proofErr w:type="gramEnd"/>
      <w:r w:rsidR="005974A4">
        <w:t xml:space="preserve"> jotka </w:t>
      </w:r>
      <w:r w:rsidR="005974A4" w:rsidRPr="005974A4">
        <w:t>on tuomittu yhteensä enintään viiden vuoden vankeusrangaistukseen huolimattomuuteen liittyvistä rikoksista</w:t>
      </w:r>
      <w:r w:rsidR="005974A4">
        <w:t xml:space="preserve"> ja henkilöt j</w:t>
      </w:r>
      <w:r w:rsidR="005974A4" w:rsidRPr="005974A4">
        <w:t>oiden sakkorangaistus on muutettu vankeusrangaistukseksi täytäntöönpanovaiheessa</w:t>
      </w:r>
      <w:r>
        <w:t xml:space="preserve">. Avovankiloissa ei voida suorittaa rangaistuksia </w:t>
      </w:r>
      <w:r w:rsidR="00965A7A">
        <w:t>rikoksista,</w:t>
      </w:r>
      <w:r>
        <w:t xml:space="preserve"> jotka liittyvät terrorismirikoksiin, järjestäytyneeseen rikollisuuteen, seksuaalirikoksiin, uusiutuviin rikoksiin, </w:t>
      </w:r>
      <w:r w:rsidRPr="002B5DE1">
        <w:t>sekä ne, joiden ehdonalais</w:t>
      </w:r>
      <w:r w:rsidR="00965A7A">
        <w:t xml:space="preserve">en vapauden </w:t>
      </w:r>
      <w:r w:rsidRPr="002B5DE1">
        <w:t>päätös on peruutettu ja joiden rangaistus pannaan täytäntöön kokonaisuudessaan</w:t>
      </w:r>
      <w:r>
        <w:t>.</w:t>
      </w:r>
      <w:r>
        <w:rPr>
          <w:rStyle w:val="FootnoteReference"/>
        </w:rPr>
        <w:footnoteReference w:id="6"/>
      </w:r>
      <w:r w:rsidR="00144604">
        <w:t xml:space="preserve"> </w:t>
      </w:r>
    </w:p>
    <w:p w14:paraId="663429BA" w14:textId="0ED40C8F" w:rsidR="000A0824" w:rsidRDefault="001B7F08" w:rsidP="000A0824">
      <w:r>
        <w:t xml:space="preserve">Lain numero 5275 </w:t>
      </w:r>
      <w:r w:rsidR="00FE77F5">
        <w:t xml:space="preserve">14. artiklan </w:t>
      </w:r>
      <w:r w:rsidR="00327764">
        <w:t>5</w:t>
      </w:r>
      <w:r w:rsidR="00F64A6C">
        <w:t>. pykälän</w:t>
      </w:r>
      <w:r w:rsidR="00144604">
        <w:t xml:space="preserve"> mukaan a</w:t>
      </w:r>
      <w:r w:rsidR="00144604" w:rsidRPr="00144604">
        <w:t>voim</w:t>
      </w:r>
      <w:r w:rsidR="00327764">
        <w:t xml:space="preserve">iin rangaistuslaitoksiin sijoitetaan </w:t>
      </w:r>
      <w:proofErr w:type="spellStart"/>
      <w:r w:rsidR="000A0824">
        <w:t>henkliöt</w:t>
      </w:r>
      <w:proofErr w:type="spellEnd"/>
      <w:r w:rsidR="000A0824">
        <w:t xml:space="preserve">: </w:t>
      </w:r>
    </w:p>
    <w:p w14:paraId="61C13853" w14:textId="1A78C64A" w:rsidR="000A0824" w:rsidRDefault="000A0824" w:rsidP="000A0824">
      <w:r>
        <w:t xml:space="preserve">a) Karkurit tai henkilöt, joiden osalta on annettu pidätysmääräys hallinto- ja valvontakomitean päätöksellä muista rikoksista kuin yllä mainituista rikoksista (terrorismirikokset, järjestäytyneeseen rikollisuuteen liittyvät rikokset, seksuaalirikokset, uusiutuvat rikokset, sekä </w:t>
      </w:r>
      <w:proofErr w:type="gramStart"/>
      <w:r>
        <w:t>henkilöt</w:t>
      </w:r>
      <w:proofErr w:type="gramEnd"/>
      <w:r>
        <w:t xml:space="preserve"> joiden ehdonalainen vapautuminen on peruttu), </w:t>
      </w:r>
    </w:p>
    <w:p w14:paraId="669838AA" w14:textId="77F28D02" w:rsidR="000A0824" w:rsidRDefault="000A0824" w:rsidP="000A0824">
      <w:r>
        <w:t xml:space="preserve">b) ne, joille on määrätty muu kurinpitoseuraamus kuin huomautus ja joiden rangaistus on tullut lainvoimaiseksi, tai ne, joiden teko vaarantaa rangaistuslaitoksen järjestyksen tai siellä olevien henkilöiden turvallisuuden, vaikka kurinpitoseuraamus ei olisi vielä tullut lainvoimaiseksi, hallinto- ja tarkkailulautakunnan päätöksellä, </w:t>
      </w:r>
    </w:p>
    <w:p w14:paraId="2EE4A75F" w14:textId="585B89DD" w:rsidR="007C0049" w:rsidRDefault="000A0824" w:rsidP="000A0824">
      <w:r>
        <w:t>c) henkilöt, joiden on todettu olevan kykenemättömiä sopeutumaan avoimen vankilan olosuhteisiin tai työolosuhteisiin, lähetetään suljettuun vankilaan hallinto- ja tarkkailulautakunnan päätöksellä ja täytäntöönpanotuomarin hyväksynnällä</w:t>
      </w:r>
      <w:r w:rsidR="00144604" w:rsidRPr="00144604">
        <w:t>.</w:t>
      </w:r>
      <w:r w:rsidR="00144604">
        <w:rPr>
          <w:rStyle w:val="FootnoteReference"/>
        </w:rPr>
        <w:footnoteReference w:id="7"/>
      </w:r>
      <w:r w:rsidR="007C0049">
        <w:t xml:space="preserve"> </w:t>
      </w:r>
    </w:p>
    <w:p w14:paraId="07B1BA00" w14:textId="6D71456A" w:rsidR="00FF1FE4" w:rsidRDefault="00FF1FE4" w:rsidP="005235BD">
      <w:pPr>
        <w:pStyle w:val="CommentText"/>
      </w:pPr>
      <w:r>
        <w:t xml:space="preserve">Lain numero 5275 9. artiklan 2. </w:t>
      </w:r>
      <w:r w:rsidR="00F64A6C">
        <w:t>pykälän</w:t>
      </w:r>
      <w:r>
        <w:t xml:space="preserve"> mukaan </w:t>
      </w:r>
      <w:r w:rsidR="00414510" w:rsidRPr="00414510">
        <w:t>korkean turvallisuusluokan vankeinhoitolaitokseen</w:t>
      </w:r>
      <w:r w:rsidR="00414510">
        <w:t xml:space="preserve"> </w:t>
      </w:r>
      <w:r>
        <w:t>määrätään henkilöt</w:t>
      </w:r>
      <w:r w:rsidR="00414510">
        <w:t>,</w:t>
      </w:r>
      <w:r>
        <w:t xml:space="preserve"> jotka on tuomittu </w:t>
      </w:r>
      <w:r w:rsidR="00414510">
        <w:t>kovennettuun</w:t>
      </w:r>
      <w:r>
        <w:t xml:space="preserve"> elinkautiseen, sekä </w:t>
      </w:r>
      <w:r w:rsidRPr="00FF1FE4">
        <w:t>henkilöt, jotka on tuomittu vankeuteen rikollisjärjestön perustamisesta tai johtamisesta tai tällaisen järjestön toiminnan yhteydessä</w:t>
      </w:r>
      <w:r w:rsidR="007E7B30">
        <w:t>. Lisäksi suljettuun osastoon määrätään henkilöt jotka on tuomittu</w:t>
      </w:r>
      <w:r w:rsidR="00414510">
        <w:t xml:space="preserve"> Turkin rikoslaissa määritellyistä</w:t>
      </w:r>
      <w:r w:rsidR="007E7B30">
        <w:t xml:space="preserve"> ihmisyyden vastaisista rikoksista,</w:t>
      </w:r>
      <w:r w:rsidR="007E7B30">
        <w:rPr>
          <w:rStyle w:val="FootnoteReference"/>
        </w:rPr>
        <w:footnoteReference w:id="8"/>
      </w:r>
      <w:r w:rsidR="007E7B30">
        <w:t xml:space="preserve"> ensimmäisen asteen murhista,</w:t>
      </w:r>
      <w:r w:rsidR="007E7B30">
        <w:rPr>
          <w:rStyle w:val="FootnoteReference"/>
        </w:rPr>
        <w:footnoteReference w:id="9"/>
      </w:r>
      <w:r w:rsidR="007E7B30">
        <w:t xml:space="preserve"> huumeiden tuottamisesta tai salakuljetuksesta,</w:t>
      </w:r>
      <w:r w:rsidR="007E7B30">
        <w:rPr>
          <w:rStyle w:val="FootnoteReference"/>
        </w:rPr>
        <w:footnoteReference w:id="10"/>
      </w:r>
      <w:r w:rsidR="007E7B30">
        <w:t xml:space="preserve"> valtion turvallisuuden vastaisista rikoksista,</w:t>
      </w:r>
      <w:r w:rsidR="007E7B30">
        <w:rPr>
          <w:rStyle w:val="FootnoteReference"/>
        </w:rPr>
        <w:footnoteReference w:id="11"/>
      </w:r>
      <w:r w:rsidR="007E7B30">
        <w:t xml:space="preserve"> sekä perustuslaillisen järjestyksen ja sen toiminnan vastaisista rikoksista</w:t>
      </w:r>
      <w:r w:rsidR="007E7B30">
        <w:rPr>
          <w:rStyle w:val="FootnoteReference"/>
        </w:rPr>
        <w:footnoteReference w:id="12"/>
      </w:r>
      <w:r w:rsidR="007E7B30">
        <w:t>.</w:t>
      </w:r>
      <w:r w:rsidR="00F64A6C">
        <w:rPr>
          <w:rStyle w:val="FootnoteReference"/>
        </w:rPr>
        <w:footnoteReference w:id="13"/>
      </w:r>
      <w:r w:rsidR="00F64A6C">
        <w:t xml:space="preserve"> </w:t>
      </w:r>
      <w:r w:rsidR="005235BD">
        <w:rPr>
          <w:rStyle w:val="CommentReference"/>
        </w:rPr>
        <w:annotationRef/>
      </w:r>
      <w:r w:rsidR="005235BD">
        <w:t>Lain numero 5275 9. artiklan</w:t>
      </w:r>
      <w:r w:rsidR="005F7C75">
        <w:t xml:space="preserve"> </w:t>
      </w:r>
      <w:r w:rsidR="00F64A6C">
        <w:t xml:space="preserve">3. pykälän mukaan </w:t>
      </w:r>
      <w:r w:rsidR="00F64A6C" w:rsidRPr="00F64A6C">
        <w:t>suljettuihin laitoksiin sijoitetaan henkilöt, joiden toiminta ja asenteet aiheuttavat vaara</w:t>
      </w:r>
      <w:r w:rsidR="003A711E">
        <w:t xml:space="preserve">a </w:t>
      </w:r>
      <w:r w:rsidR="00F64A6C" w:rsidRPr="00F64A6C">
        <w:t xml:space="preserve">ja joiden on todettu tarvitsevan erityistä valvontaa ja </w:t>
      </w:r>
      <w:r w:rsidR="00F64A6C" w:rsidRPr="00F64A6C">
        <w:lastRenderedPageBreak/>
        <w:t xml:space="preserve">seurantaa, sekä henkilöt, jotka rikkovat järjestystä ja kuria laitoksissa, joissa </w:t>
      </w:r>
      <w:r w:rsidR="003A711E">
        <w:t>heitä pidetään</w:t>
      </w:r>
      <w:r w:rsidR="00F64A6C" w:rsidRPr="00F64A6C">
        <w:t>, tai jotka kieltäytyvät jyrkästi noudattamasta kuntoutustoimenpiteitä, -välineitä ja -menettelyjä.</w:t>
      </w:r>
      <w:r w:rsidR="00F64A6C">
        <w:rPr>
          <w:rStyle w:val="FootnoteReference"/>
        </w:rPr>
        <w:footnoteReference w:id="14"/>
      </w:r>
    </w:p>
    <w:p w14:paraId="4FF89382" w14:textId="318EDC38" w:rsidR="0030446C" w:rsidRDefault="0030446C" w:rsidP="0030446C">
      <w:pPr>
        <w:pStyle w:val="Heading2"/>
      </w:pPr>
      <w:r>
        <w:t>Vapauteen tai ehdonalaiseen pääseminen ennen vankeusrangaistusajan päättymistä</w:t>
      </w:r>
    </w:p>
    <w:p w14:paraId="50A30BD6" w14:textId="6D99AA0D" w:rsidR="0030446C" w:rsidRDefault="0030446C" w:rsidP="0030446C">
      <w:r>
        <w:t xml:space="preserve">Lain numero 5275 107. artiklan </w:t>
      </w:r>
      <w:r w:rsidR="00297301">
        <w:t xml:space="preserve">1. pykälän mukaan </w:t>
      </w:r>
      <w:r w:rsidR="00FA3D11">
        <w:t>ehdonalaisen vapautuksen edellytyksenä on moitteeton käytös</w:t>
      </w:r>
      <w:r w:rsidRPr="0030446C">
        <w:t>.</w:t>
      </w:r>
      <w:r w:rsidR="00297301">
        <w:rPr>
          <w:rStyle w:val="FootnoteReference"/>
        </w:rPr>
        <w:footnoteReference w:id="15"/>
      </w:r>
      <w:r>
        <w:t xml:space="preserve"> </w:t>
      </w:r>
      <w:r w:rsidR="00FA3D11">
        <w:t>107. artiklan</w:t>
      </w:r>
      <w:r w:rsidR="00297301">
        <w:t xml:space="preserve"> 2. pykälän mukaan </w:t>
      </w:r>
      <w:r w:rsidR="005235BD">
        <w:t>kovennettuun</w:t>
      </w:r>
      <w:r w:rsidRPr="0030446C">
        <w:t xml:space="preserve"> elinkautiseen vankeusrangaistukseen tuomitut voivat olla oikeutettuja ehdonalaiseen vapautukseen, jos he ovat suorittaneet rangaistuksestaan 30 vuotta, elinkautiseen vankeusrangaistukseen tuomitut 24 vuotta ja muihin vankeusrangaistuksiin tuomitut</w:t>
      </w:r>
      <w:r w:rsidR="00E96091">
        <w:t xml:space="preserve"> ovat suorittaneet</w:t>
      </w:r>
      <w:r w:rsidRPr="0030446C">
        <w:t xml:space="preserve"> kaksi kolmasosaa </w:t>
      </w:r>
      <w:r w:rsidR="00E96091">
        <w:t xml:space="preserve">heidän </w:t>
      </w:r>
      <w:r w:rsidRPr="0030446C">
        <w:t>rangaistuksestaan.</w:t>
      </w:r>
      <w:r w:rsidR="00297301">
        <w:rPr>
          <w:rStyle w:val="FootnoteReference"/>
        </w:rPr>
        <w:footnoteReference w:id="16"/>
      </w:r>
      <w:r w:rsidR="00297301">
        <w:t xml:space="preserve"> </w:t>
      </w:r>
      <w:r w:rsidR="00FA3D11">
        <w:t>107. artiklan</w:t>
      </w:r>
      <w:r w:rsidR="00297301">
        <w:t xml:space="preserve"> 5. pykälän mukaan e</w:t>
      </w:r>
      <w:r w:rsidR="00297301" w:rsidRPr="00297301">
        <w:t>hdonalaiseen vapautumiseen johtavaa aikaa laskettaessa jokainen päivä, jonka tuomittu on viettänyt rangaistuslaitoksessa 15 vuoden ikään saakka lasketaan kahdeksi päiväksi.</w:t>
      </w:r>
      <w:r w:rsidR="00297301">
        <w:rPr>
          <w:rStyle w:val="FootnoteReference"/>
        </w:rPr>
        <w:footnoteReference w:id="17"/>
      </w:r>
      <w:r w:rsidR="00297301">
        <w:t xml:space="preserve"> </w:t>
      </w:r>
      <w:r w:rsidR="00FA3D11">
        <w:t>107. artiklan</w:t>
      </w:r>
      <w:r w:rsidR="00297301">
        <w:t xml:space="preserve"> 6. pykälän mukaan e</w:t>
      </w:r>
      <w:r w:rsidR="00297301" w:rsidRPr="00297301">
        <w:t xml:space="preserve">hdollisesti vapautetun vangin </w:t>
      </w:r>
      <w:r w:rsidR="005235BD">
        <w:t>koeaika</w:t>
      </w:r>
      <w:r w:rsidR="00297301" w:rsidRPr="00297301">
        <w:t xml:space="preserve"> on </w:t>
      </w:r>
      <w:r w:rsidR="005235BD">
        <w:t>sama määrä</w:t>
      </w:r>
      <w:r w:rsidR="00297301" w:rsidRPr="00297301">
        <w:t xml:space="preserve">, joka edellä olevien </w:t>
      </w:r>
      <w:r w:rsidR="00FA3D11">
        <w:t>pykälien</w:t>
      </w:r>
      <w:r w:rsidR="00297301" w:rsidRPr="00297301">
        <w:t xml:space="preserve"> mukaan on vietettävä rangaistuslaitoksessa.  Määräaikaisen vankeusrangaistuksen osalta </w:t>
      </w:r>
      <w:r w:rsidR="005235BD">
        <w:t>koeaika</w:t>
      </w:r>
      <w:r w:rsidR="00297301" w:rsidRPr="00297301">
        <w:t xml:space="preserve"> ei kuitenkaan saa ylittää </w:t>
      </w:r>
      <w:r w:rsidR="00FA3D11">
        <w:t>tuomiossa määritettyä</w:t>
      </w:r>
      <w:r w:rsidR="00297301" w:rsidRPr="00297301">
        <w:t xml:space="preserve"> vapautumispäivää.</w:t>
      </w:r>
      <w:r w:rsidR="00297301">
        <w:rPr>
          <w:rStyle w:val="FootnoteReference"/>
        </w:rPr>
        <w:footnoteReference w:id="18"/>
      </w:r>
    </w:p>
    <w:p w14:paraId="48A0A476" w14:textId="60267EA3" w:rsidR="00297301" w:rsidRDefault="00297301" w:rsidP="0030446C">
      <w:r>
        <w:t>Lain</w:t>
      </w:r>
      <w:r w:rsidR="0035772C">
        <w:t xml:space="preserve"> numero 5275</w:t>
      </w:r>
      <w:r w:rsidR="005235BD">
        <w:t xml:space="preserve"> </w:t>
      </w:r>
      <w:r w:rsidR="0035772C">
        <w:t>107. artiklan</w:t>
      </w:r>
      <w:r>
        <w:t xml:space="preserve"> 10. pykälän mukaan</w:t>
      </w:r>
      <w:r w:rsidRPr="00297301">
        <w:t xml:space="preserve"> tuomari voi päättää</w:t>
      </w:r>
      <w:r w:rsidR="00F83A39">
        <w:t xml:space="preserve"> ehdonalaista vapautusta </w:t>
      </w:r>
      <w:r w:rsidR="00B61C45" w:rsidRPr="00B61C45">
        <w:t>hakevan vangin luonteesta ja yhteiskuntaan sopeutumisesta tehdyn arvioinnin perusteella voidaanko ehdonalainen toteuttaa ilman koeaikaa tai velvoitteita ja hän voi vaihtoehtoisesti kumota koeaikaan liittyvät toimenpiteet ja velvoitteet koeajan aikana</w:t>
      </w:r>
      <w:r w:rsidRPr="00297301">
        <w:t>.</w:t>
      </w:r>
      <w:r>
        <w:rPr>
          <w:rStyle w:val="FootnoteReference"/>
        </w:rPr>
        <w:footnoteReference w:id="19"/>
      </w:r>
      <w:r w:rsidR="0035772C">
        <w:t xml:space="preserve"> 107. artiklan 11. pykälän mukaan r</w:t>
      </w:r>
      <w:r w:rsidR="0035772C" w:rsidRPr="0035772C">
        <w:t xml:space="preserve">angaistuslaitoksen johdon laatima, </w:t>
      </w:r>
      <w:r w:rsidR="00B61C45">
        <w:t>tuomitun</w:t>
      </w:r>
      <w:r w:rsidR="0035772C" w:rsidRPr="0035772C">
        <w:t xml:space="preserve"> ehdollista vapauttamista koskeva perusteltu selvitys on toimitettava tuomion antaneelle tuomioistuimelle tai, jos tuomittu oleskelee muualla, kyseisen paikkakunnan vastaavan tason tuomioistuimelle. Jos tuomioistuin katsoo selvityksen asianmukaiseksi, se päättää tuomittavan ehdollisesta vapauttamisesta. Jos tuomioistuin ei katso selvitystä asianmukaiseksi, sen on mainittava päätöksessään syy tähän. Tästä päätöksestä voidaan valittaa.</w:t>
      </w:r>
      <w:r w:rsidR="0035772C">
        <w:rPr>
          <w:rStyle w:val="FootnoteReference"/>
        </w:rPr>
        <w:footnoteReference w:id="20"/>
      </w:r>
      <w:r w:rsidR="0039053B">
        <w:t xml:space="preserve"> 107. artiklan 12. pykälän mukaan </w:t>
      </w:r>
      <w:r w:rsidR="0039053B" w:rsidRPr="0039053B">
        <w:t>ehdonalais</w:t>
      </w:r>
      <w:r w:rsidR="00E100D8">
        <w:t xml:space="preserve">ta </w:t>
      </w:r>
      <w:r w:rsidR="00B61C45">
        <w:t>vaputta</w:t>
      </w:r>
      <w:r w:rsidR="00E100D8">
        <w:t xml:space="preserve"> koskeva </w:t>
      </w:r>
      <w:r w:rsidR="0039053B" w:rsidRPr="0039053B">
        <w:t>päätös kumotaan, j</w:t>
      </w:r>
      <w:r w:rsidR="00E100D8">
        <w:t>os</w:t>
      </w:r>
      <w:r w:rsidR="0039053B" w:rsidRPr="0039053B">
        <w:t xml:space="preserve"> tuomittu syyllistyy</w:t>
      </w:r>
      <w:r w:rsidR="00E100D8">
        <w:t xml:space="preserve"> ehdonalaisen vapautuksen</w:t>
      </w:r>
      <w:r w:rsidR="0039053B" w:rsidRPr="0039053B">
        <w:t xml:space="preserve"> </w:t>
      </w:r>
      <w:r w:rsidR="00B61C45">
        <w:t>koeajan</w:t>
      </w:r>
      <w:r w:rsidR="0039053B" w:rsidRPr="0039053B">
        <w:t xml:space="preserve"> aikana </w:t>
      </w:r>
      <w:r w:rsidR="00B61C45">
        <w:t xml:space="preserve">tarkoituksellisesti </w:t>
      </w:r>
      <w:r w:rsidR="0039053B" w:rsidRPr="0039053B">
        <w:t>vankeusrangaistukseen johtavaan rikokseen tai kieltäytyy noudattamasta velvollisuuksiaan tuomarin varoituksesta huolimatta.</w:t>
      </w:r>
      <w:r w:rsidR="0039053B">
        <w:rPr>
          <w:rStyle w:val="FootnoteReference"/>
        </w:rPr>
        <w:footnoteReference w:id="21"/>
      </w:r>
      <w:r w:rsidR="003E03BD">
        <w:t xml:space="preserve"> </w:t>
      </w:r>
    </w:p>
    <w:p w14:paraId="62E6533A" w14:textId="40622374" w:rsidR="002E3E5A" w:rsidRDefault="005C123F" w:rsidP="004662AC">
      <w:r>
        <w:t xml:space="preserve">Lain numero 5275:n </w:t>
      </w:r>
      <w:r w:rsidR="00403DD8">
        <w:t xml:space="preserve">107. artiklan </w:t>
      </w:r>
      <w:r>
        <w:t>13. pykälän</w:t>
      </w:r>
      <w:r w:rsidR="00FE77F5">
        <w:t xml:space="preserve"> mukaan</w:t>
      </w:r>
      <w:r>
        <w:t xml:space="preserve"> </w:t>
      </w:r>
      <w:r w:rsidR="00E100D8">
        <w:t>tilanteessa,</w:t>
      </w:r>
      <w:r w:rsidR="00FA3D11">
        <w:t xml:space="preserve"> jossa</w:t>
      </w:r>
      <w:r>
        <w:t xml:space="preserve"> ehdonalaispäätös peruutetaan</w:t>
      </w:r>
      <w:r w:rsidR="003A2D68">
        <w:t>,</w:t>
      </w:r>
      <w:r>
        <w:t xml:space="preserve"> </w:t>
      </w:r>
      <w:r w:rsidR="00FA3D11">
        <w:t>tuomittu henkilö</w:t>
      </w:r>
      <w:r>
        <w:t xml:space="preserve"> suorittaa rangaistuslaitoksessa jäljellä olevan osan</w:t>
      </w:r>
      <w:r w:rsidR="003A2D68">
        <w:t xml:space="preserve"> tuomiostaan</w:t>
      </w:r>
      <w:r>
        <w:t xml:space="preserve"> </w:t>
      </w:r>
      <w:r w:rsidR="003A2D68">
        <w:t>kaksinkertaisesti</w:t>
      </w:r>
      <w:r w:rsidR="003A2D68" w:rsidRPr="003A2D68">
        <w:t xml:space="preserve"> kunkin myöhemmän rikoksen vuoksi määrätyn vankeusrangaistuksen kestoon verrattuna, laskettuna rikoksen tekopäivästä alkaen ja enintään siihen päivään saakka, jolloin vanki on oikeutettu vapautumaan</w:t>
      </w:r>
      <w:r>
        <w:t>. Jos hän laiminlyö velvollisuutensa, hän suorittaa rangaistuslaitoksessa tuomioistuimen harkinnan mukaan määritettävän ajan, joka lasketaan velvollisuuksien laiminlyönnin päivämäärästä ansaittuun vapautumispäivään. Kun ehdonalaisvapautuspäätös on kumottu, samaa rangaistusta koskevaa ehdonalaisvapautuspäätöstä ei voida tehdä uudelleen.</w:t>
      </w:r>
      <w:r>
        <w:rPr>
          <w:rStyle w:val="FootnoteReference"/>
        </w:rPr>
        <w:footnoteReference w:id="22"/>
      </w:r>
      <w:r w:rsidR="00272907">
        <w:t xml:space="preserve"> </w:t>
      </w:r>
      <w:r w:rsidR="003E03BD">
        <w:t xml:space="preserve"> </w:t>
      </w:r>
      <w:r w:rsidR="004662AC">
        <w:t xml:space="preserve">107. artiklan 15. pykälän mukaan </w:t>
      </w:r>
      <w:r w:rsidR="00D33747">
        <w:t>ehdonalainen vapautus peruutetaan,</w:t>
      </w:r>
      <w:r w:rsidR="004662AC">
        <w:t xml:space="preserve"> jos tuomittu on tuomittu vankeuteen rikoksesta, jonka </w:t>
      </w:r>
      <w:r w:rsidR="004662AC">
        <w:lastRenderedPageBreak/>
        <w:t>hän on tehnyt alkuperäisen rangaistuksensa jäljellä olevan ajan kuluessa. Se tehdään myös</w:t>
      </w:r>
      <w:r w:rsidR="00AF19E8">
        <w:t>,</w:t>
      </w:r>
      <w:r w:rsidR="004662AC">
        <w:t xml:space="preserve"> jos tuomittu ei ole noudattanut</w:t>
      </w:r>
      <w:r w:rsidR="006E6D1D">
        <w:t xml:space="preserve"> koeajan</w:t>
      </w:r>
      <w:r w:rsidR="004662AC">
        <w:t xml:space="preserve"> velvollisuuksiaan</w:t>
      </w:r>
      <w:r w:rsidR="006E6D1D">
        <w:t xml:space="preserve">. </w:t>
      </w:r>
      <w:r w:rsidR="004662AC">
        <w:t>Päätöksestä voidaan valittaa.</w:t>
      </w:r>
      <w:r w:rsidR="004662AC">
        <w:rPr>
          <w:rStyle w:val="FootnoteReference"/>
        </w:rPr>
        <w:footnoteReference w:id="23"/>
      </w:r>
    </w:p>
    <w:p w14:paraId="0E2FD930" w14:textId="574C883D" w:rsidR="00ED2392" w:rsidRDefault="002E3E5A" w:rsidP="004662AC">
      <w:r>
        <w:t>Uuteen rikokseen vankilassa syyllistyneen henkilön on l</w:t>
      </w:r>
      <w:r w:rsidR="00ED2392">
        <w:t>ain numero 5275:n 108:n artiklan 1. pykälän mukaan</w:t>
      </w:r>
      <w:r>
        <w:t xml:space="preserve"> mahdollista päästä</w:t>
      </w:r>
      <w:r w:rsidR="00ED2392">
        <w:t xml:space="preserve"> </w:t>
      </w:r>
      <w:r>
        <w:t>e</w:t>
      </w:r>
      <w:r w:rsidR="00ED2392" w:rsidRPr="00ED2392">
        <w:t xml:space="preserve">hdonalaiseen </w:t>
      </w:r>
      <w:r w:rsidR="006E6D1D">
        <w:t>vapauteen</w:t>
      </w:r>
      <w:r w:rsidR="00ED2392" w:rsidRPr="00ED2392">
        <w:t xml:space="preserve">, jos </w:t>
      </w:r>
      <w:r>
        <w:t>hän</w:t>
      </w:r>
      <w:r w:rsidR="00ED2392" w:rsidRPr="00ED2392">
        <w:t xml:space="preserve"> on </w:t>
      </w:r>
      <w:r w:rsidR="006406A6">
        <w:t>kaksi kolmasosaa</w:t>
      </w:r>
      <w:r w:rsidR="00ED2392" w:rsidRPr="00ED2392">
        <w:t xml:space="preserve"> vankilassa </w:t>
      </w:r>
      <w:r w:rsidR="00E100D8">
        <w:t>ja on arvioitu osoittaneen hyvää käytöstä</w:t>
      </w:r>
      <w:r w:rsidR="00ED2392" w:rsidRPr="00ED2392">
        <w:t xml:space="preserve"> uuden rikoksen vuoksi langetetun vankeusrangaistuksen puitteissa.</w:t>
      </w:r>
      <w:r w:rsidR="00ED2392">
        <w:t xml:space="preserve"> Tämä pätee rikoksiin</w:t>
      </w:r>
      <w:r w:rsidR="00E100D8">
        <w:t>,</w:t>
      </w:r>
      <w:r w:rsidR="00ED2392">
        <w:t xml:space="preserve"> joista ei olla langetettu </w:t>
      </w:r>
      <w:r w:rsidR="006E6D1D">
        <w:t>kovennettua</w:t>
      </w:r>
      <w:r w:rsidR="00ED2392">
        <w:t xml:space="preserve"> elinkautista tai 33 vuoden vankeusrangaistusta.</w:t>
      </w:r>
      <w:r w:rsidR="006406A6">
        <w:t xml:space="preserve"> Toistetusta kovennetusta elinkautisesta tuomitun on täytynyt suorittaa 39 vuotta vankeusrangaistuksesta.</w:t>
      </w:r>
      <w:r w:rsidR="00ED2392">
        <w:rPr>
          <w:rStyle w:val="FootnoteReference"/>
        </w:rPr>
        <w:footnoteReference w:id="24"/>
      </w:r>
      <w:r w:rsidR="004955B7">
        <w:t xml:space="preserve"> 108. artiklan 2. pykälän mukaan </w:t>
      </w:r>
      <w:r w:rsidR="004955B7" w:rsidRPr="004955B7">
        <w:t>uusintarikoksesta johtuen ehdonalais</w:t>
      </w:r>
      <w:r w:rsidR="00E100D8">
        <w:t xml:space="preserve">en </w:t>
      </w:r>
      <w:r w:rsidR="006E6D1D">
        <w:t>vapauden</w:t>
      </w:r>
      <w:r w:rsidR="00E100D8">
        <w:t xml:space="preserve"> </w:t>
      </w:r>
      <w:r w:rsidR="004955B7" w:rsidRPr="004955B7">
        <w:t>ajan pituutta pidennettävä aika ei saa olla pidempi kuin se ankarin rangaistus, jota uusintarikoksen perusteena on käytetty.</w:t>
      </w:r>
      <w:r w:rsidR="009B42A2">
        <w:t xml:space="preserve"> </w:t>
      </w:r>
      <w:r w:rsidR="009B42A2" w:rsidRPr="009B42A2">
        <w:t>Jos rikos uusitaan toisen kerran, tämän kohdan säännöstä ei sovelleta</w:t>
      </w:r>
      <w:r w:rsidR="009B42A2">
        <w:t>.</w:t>
      </w:r>
      <w:r w:rsidR="004955B7">
        <w:rPr>
          <w:rStyle w:val="FootnoteReference"/>
        </w:rPr>
        <w:footnoteReference w:id="25"/>
      </w:r>
      <w:r w:rsidR="004955B7">
        <w:t xml:space="preserve"> 108. artiklan </w:t>
      </w:r>
      <w:r w:rsidR="009B42A2">
        <w:t>3</w:t>
      </w:r>
      <w:r w:rsidR="004955B7">
        <w:t>. pykälä</w:t>
      </w:r>
      <w:r w:rsidR="00E100D8">
        <w:t>ssä määritellään, että</w:t>
      </w:r>
      <w:r w:rsidR="004955B7">
        <w:t xml:space="preserve"> </w:t>
      </w:r>
      <w:r w:rsidR="009B42A2" w:rsidRPr="009B42A2">
        <w:t xml:space="preserve">sovelletaan ensimmäisessä </w:t>
      </w:r>
      <w:r w:rsidR="009B42A2">
        <w:t>pykälässä</w:t>
      </w:r>
      <w:r w:rsidR="009B42A2" w:rsidRPr="009B42A2">
        <w:t xml:space="preserve"> mainittuja ehdollisen vapauttamisen aikoja. Kuitenkin määräaikaisten vankeusrangaistusten osalta ehdollisen vapauttamisen osuus on kolme neljäsosaa. Tuomiossa mainitaan, että tuomittuun sovelletaan toistumissäännöksiä toisen kerran.</w:t>
      </w:r>
      <w:r w:rsidR="004955B7">
        <w:rPr>
          <w:rStyle w:val="FootnoteReference"/>
        </w:rPr>
        <w:footnoteReference w:id="26"/>
      </w:r>
      <w:r w:rsidR="004955B7">
        <w:t xml:space="preserve"> 108. artiklan 4. pykälän mukaan t</w:t>
      </w:r>
      <w:r w:rsidR="004955B7" w:rsidRPr="004955B7">
        <w:t xml:space="preserve">uomarin on </w:t>
      </w:r>
      <w:r w:rsidR="00E100D8">
        <w:t xml:space="preserve">tässä tilanteessa </w:t>
      </w:r>
      <w:r w:rsidR="004955B7" w:rsidRPr="004955B7">
        <w:t>määrättävä</w:t>
      </w:r>
      <w:r w:rsidR="00E100D8">
        <w:t xml:space="preserve"> rikoksen</w:t>
      </w:r>
      <w:r w:rsidR="004955B7" w:rsidRPr="004955B7">
        <w:t xml:space="preserve"> uusijalle </w:t>
      </w:r>
      <w:r w:rsidR="006E6D1D">
        <w:t>koeaika</w:t>
      </w:r>
      <w:r w:rsidR="004955B7" w:rsidRPr="004955B7">
        <w:t>, joka alkaa rangaistuksen täytäntöönpanon päätyttyä ja jonka on oltava vähintään yksi vuosi.</w:t>
      </w:r>
      <w:r w:rsidR="004955B7">
        <w:rPr>
          <w:rStyle w:val="FootnoteReference"/>
        </w:rPr>
        <w:footnoteReference w:id="27"/>
      </w:r>
    </w:p>
    <w:p w14:paraId="3CD33C32" w14:textId="447F2508" w:rsidR="00672699" w:rsidRDefault="001C7446" w:rsidP="006E6D1D">
      <w:pPr>
        <w:pStyle w:val="CommentText"/>
      </w:pPr>
      <w:r>
        <w:t>Turkkilaisen IHD (</w:t>
      </w:r>
      <w:proofErr w:type="spellStart"/>
      <w:r w:rsidRPr="002C43C7">
        <w:t>İnsan</w:t>
      </w:r>
      <w:proofErr w:type="spellEnd"/>
      <w:r w:rsidRPr="002C43C7">
        <w:t xml:space="preserve"> </w:t>
      </w:r>
      <w:proofErr w:type="spellStart"/>
      <w:r w:rsidRPr="002C43C7">
        <w:t>Hakları</w:t>
      </w:r>
      <w:proofErr w:type="spellEnd"/>
      <w:r w:rsidRPr="002C43C7">
        <w:t xml:space="preserve"> </w:t>
      </w:r>
      <w:proofErr w:type="spellStart"/>
      <w:r w:rsidRPr="002C43C7">
        <w:t>Derneği</w:t>
      </w:r>
      <w:proofErr w:type="spellEnd"/>
      <w:r>
        <w:t>)</w:t>
      </w:r>
      <w:r w:rsidR="006E6D1D">
        <w:t xml:space="preserve"> </w:t>
      </w:r>
      <w:r>
        <w:t xml:space="preserve">-ihmisoikeusjärjestön oikeudenloukkauksia Turkin vankiloissa vuonna 2024 kuvaavan vuosiraportin mukaan </w:t>
      </w:r>
      <w:r w:rsidR="006E6D1D">
        <w:t xml:space="preserve">29.12.2020 voimaan tullut tarkkailu- ja luokittelukeskuksia koskeva asetus </w:t>
      </w:r>
      <w:r w:rsidR="006E6D1D">
        <w:rPr>
          <w:rStyle w:val="CommentReference"/>
        </w:rPr>
        <w:annotationRef/>
      </w:r>
      <w:r w:rsidR="006E6D1D">
        <w:t>numero 31349</w:t>
      </w:r>
      <w:r w:rsidR="006E6D1D">
        <w:t xml:space="preserve"> perusti </w:t>
      </w:r>
      <w:proofErr w:type="gramStart"/>
      <w:r w:rsidR="006E6D1D">
        <w:t>lautakuntia</w:t>
      </w:r>
      <w:proofErr w:type="gramEnd"/>
      <w:r w:rsidR="006E6D1D">
        <w:t xml:space="preserve"> </w:t>
      </w:r>
      <w:r>
        <w:t xml:space="preserve">jotka </w:t>
      </w:r>
      <w:r w:rsidR="00FE77F5">
        <w:t xml:space="preserve">arvioivat </w:t>
      </w:r>
      <w:r>
        <w:t xml:space="preserve">kuuden kuukauden välein vankien käytöstä. </w:t>
      </w:r>
      <w:proofErr w:type="spellStart"/>
      <w:r>
        <w:t>IHD:n</w:t>
      </w:r>
      <w:proofErr w:type="spellEnd"/>
      <w:r>
        <w:t xml:space="preserve"> mukaan nämä arviointikeskukset ovat ristiriidassa Euroopan ihmisoikeussopimuksen ja Turkin perustuslain kanssa. </w:t>
      </w:r>
      <w:r w:rsidR="00E96091">
        <w:t>L</w:t>
      </w:r>
      <w:r w:rsidR="00445565">
        <w:t xml:space="preserve">autakunnat </w:t>
      </w:r>
      <w:r w:rsidR="00E100D8">
        <w:t>arvioivat</w:t>
      </w:r>
      <w:r w:rsidR="00445565">
        <w:t xml:space="preserve"> tuomioistuimen sijasta </w:t>
      </w:r>
      <w:r w:rsidR="00E96091">
        <w:t>vankien käytöstä</w:t>
      </w:r>
      <w:r w:rsidR="00445565">
        <w:t>, sekä päättävät, voivatko he hyödyntää ehdonalaista vapauttamista. Lisäksi hallinto- ja tarkkailulautakunnat tekevät vankeja koskevissa arvioissaan päätöksiä, joissa se perustelee vankien huonon käytöksen sääntöjen voimaantulopäivää edeltävillä kurinpitoseuraamuksilla, mikä on takautumiskieltoa koskevan periaatteen vastaista ja</w:t>
      </w:r>
      <w:r w:rsidR="00E100D8">
        <w:t xml:space="preserve"> saattaa</w:t>
      </w:r>
      <w:r w:rsidR="00445565">
        <w:t xml:space="preserve"> estää vankien vapauttamista. </w:t>
      </w:r>
      <w:proofErr w:type="spellStart"/>
      <w:r w:rsidR="00445565">
        <w:t>IHD:n</w:t>
      </w:r>
      <w:proofErr w:type="spellEnd"/>
      <w:r w:rsidR="00445565">
        <w:t xml:space="preserve"> mukaan </w:t>
      </w:r>
      <w:r w:rsidR="00E100D8">
        <w:t>v</w:t>
      </w:r>
      <w:r w:rsidR="00445565">
        <w:t>alvontakomiteat tekevät vankien hyvän käytöksen arvioinnissa abstrakteja ja subjektiivisia tulkintoja ja vaativat poliittisilta vangeilta lausuntoja</w:t>
      </w:r>
      <w:r w:rsidR="006E6D1D">
        <w:t>,</w:t>
      </w:r>
      <w:r w:rsidR="00445565">
        <w:t xml:space="preserve"> </w:t>
      </w:r>
      <w:r w:rsidR="00E100D8">
        <w:t>joissa he osoittavat katumusta</w:t>
      </w:r>
      <w:r w:rsidR="00445565">
        <w:t xml:space="preserve">. Näiden päätösten seurauksena satoja poliittisia vankeja jää vaille oikeutta ehdonalaisvalvontaan ja ehdonalaiseen vapautukseen. IHD saa "erittäin paljon" </w:t>
      </w:r>
      <w:r w:rsidR="00E100D8">
        <w:t>hakemuksia</w:t>
      </w:r>
      <w:r w:rsidR="00445565">
        <w:t xml:space="preserve"> vangeilta, joiden vapauttaminen on estetty tarkkailulautakuntien päätöksillä.</w:t>
      </w:r>
      <w:r w:rsidR="00445565">
        <w:rPr>
          <w:rStyle w:val="FootnoteReference"/>
        </w:rPr>
        <w:footnoteReference w:id="28"/>
      </w:r>
      <w:r w:rsidR="00672699">
        <w:t xml:space="preserve"> </w:t>
      </w:r>
    </w:p>
    <w:p w14:paraId="73B50788" w14:textId="6F762E3B" w:rsidR="00672699" w:rsidRDefault="00672699" w:rsidP="00672699">
      <w:r>
        <w:t>YK:n kidutuksen vastaisen komitean Turkin tilannetta kuvaavan 14.8.2024 julkaiseman raportin mukaan hallinto- ja valvontaelimet, joiden tehtävänä on hyväksyä tai hylätä vankien ehdonalaiseen vapauttaminen, eivät ole institutionaalisesti riippumattomia, sillä ne koostuvat pääasiassa vankilahenkilökunnasta, ja niiden toiminnan väitetään olevan hyvin mielivaltaista, mikä haittaa erityisesti ihmisoikeusaktivistien, toimittajien ja poliittisista syistä tuomittujen vankien vapautumismahdollisuuksia.</w:t>
      </w:r>
      <w:r>
        <w:rPr>
          <w:rStyle w:val="FootnoteReference"/>
        </w:rPr>
        <w:footnoteReference w:id="29"/>
      </w:r>
    </w:p>
    <w:p w14:paraId="3FA4D0BB" w14:textId="7C13A2D0" w:rsidR="00DD42AB" w:rsidRDefault="00662C52" w:rsidP="00DD42AB">
      <w:pPr>
        <w:pStyle w:val="Heading1"/>
      </w:pPr>
      <w:r w:rsidRPr="00662C52">
        <w:t xml:space="preserve">Kohdistavatko viranomaiset väkivaltaa tietystä taustan omaaviin vankeihin? Kohdistavatko viranomaiset väkivaltaa kurdeihin? Onko saatavilla tietoa siitä, että kurdeja </w:t>
      </w:r>
      <w:r w:rsidRPr="00662C52">
        <w:lastRenderedPageBreak/>
        <w:t>kohdeltaisiin Turkin vankiloissa systemaattisesti tavalla, joka vakavasti rikkoisi perus- ja ihmisoikeuksia</w:t>
      </w:r>
      <w:r w:rsidR="00DD42AB" w:rsidRPr="00DD42AB">
        <w:t>?</w:t>
      </w:r>
    </w:p>
    <w:p w14:paraId="1859F8CE" w14:textId="5571DBF2" w:rsidR="00851E3B" w:rsidRDefault="000C32C1" w:rsidP="00851E3B">
      <w:r>
        <w:t>Kansainvälisen ki</w:t>
      </w:r>
      <w:r w:rsidR="00851E3B" w:rsidRPr="00851E3B">
        <w:t xml:space="preserve">dutuksen vastaisen OMCT (World Organization for </w:t>
      </w:r>
      <w:proofErr w:type="spellStart"/>
      <w:proofErr w:type="gramStart"/>
      <w:r w:rsidR="00851E3B" w:rsidRPr="00851E3B">
        <w:t>Torture</w:t>
      </w:r>
      <w:proofErr w:type="spellEnd"/>
      <w:r w:rsidR="00851E3B" w:rsidRPr="00851E3B">
        <w:t>)-</w:t>
      </w:r>
      <w:proofErr w:type="gramEnd"/>
      <w:r w:rsidR="004955B7">
        <w:t>ihmisoikeus</w:t>
      </w:r>
      <w:r w:rsidR="00851E3B" w:rsidRPr="00851E3B">
        <w:t>järjestön 6.3.2026 julkais</w:t>
      </w:r>
      <w:r w:rsidR="004955B7">
        <w:t>eman,</w:t>
      </w:r>
      <w:r w:rsidR="00851E3B" w:rsidRPr="00851E3B">
        <w:t xml:space="preserve"> Turkkia käsittelevän</w:t>
      </w:r>
      <w:r w:rsidR="00851E3B">
        <w:t xml:space="preserve"> raportin mukaan sukupuoli- ja seksuaalivähemmistöihin kuuluvat henkilöt kohtaavat merkittävää syrjintää, mikä pahentaa heidän haavoittuvuuttaan pidätettynä ollessaan. Maahanmuuttajataustaiset vangit joutuvat usein vaikeuksiin kielimuurien ja rajoitetun oikeudellisen avun saatavuuden vuoksi, mikä lisää heidän haasteitaan. Lisäksi pidätettynä olevat lapset kohtaavat merkittäviä vaikeuksia, sillä kansalaisjärjestöillä ja ihmisoikeusaktivisteilla on rajoitettu pääsy heidän luokseen.</w:t>
      </w:r>
      <w:r w:rsidR="00851E3B">
        <w:rPr>
          <w:rStyle w:val="FootnoteReference"/>
        </w:rPr>
        <w:footnoteReference w:id="30"/>
      </w:r>
    </w:p>
    <w:p w14:paraId="3466FDA1" w14:textId="5EC43DDB" w:rsidR="00B11B6D" w:rsidRDefault="00B11B6D" w:rsidP="00E42B9C">
      <w:proofErr w:type="spellStart"/>
      <w:r>
        <w:t>IHD</w:t>
      </w:r>
      <w:r w:rsidR="000C32C1">
        <w:t>:n</w:t>
      </w:r>
      <w:proofErr w:type="spellEnd"/>
      <w:r w:rsidR="000C32C1">
        <w:t xml:space="preserve"> T</w:t>
      </w:r>
      <w:r>
        <w:t>urkin vankiloissa vuonna 2024 tapahtuneita oikeudenloukkauksia käsittelevä</w:t>
      </w:r>
      <w:r w:rsidR="0080659D">
        <w:t xml:space="preserve">n raportin mukaan IHD saa lukuisia valituksia naisvangeilta. </w:t>
      </w:r>
      <w:r w:rsidR="000C32C1" w:rsidRPr="000C32C1">
        <w:t>Naiset joutuvat väkivallan, kidutuksen ja huonon kohtelun kohteeksi mm. vankilalaitoksen alaisuudessa toimivissa vankiloissa.</w:t>
      </w:r>
      <w:r w:rsidR="000C32C1">
        <w:t xml:space="preserve"> </w:t>
      </w:r>
      <w:proofErr w:type="gramStart"/>
      <w:r w:rsidR="0080659D">
        <w:t>Naisvankeja</w:t>
      </w:r>
      <w:proofErr w:type="gramEnd"/>
      <w:r w:rsidR="0080659D">
        <w:t xml:space="preserve"> joutui fyysisen kidutuksen ja pahoinpitelyn kohteeksi joko vankiloiden sisäisen henkilökunnan toimesta tai poliisin toimesta sairaala- ja oikeudenkäyntikuljetusten aikana. Kuitenkaan yhtäkään väkivaltaa käyttän</w:t>
      </w:r>
      <w:r w:rsidR="00C57BD1">
        <w:t>yttä</w:t>
      </w:r>
      <w:r w:rsidR="0080659D">
        <w:t xml:space="preserve"> virkamie</w:t>
      </w:r>
      <w:r w:rsidR="00C57BD1">
        <w:t>stä</w:t>
      </w:r>
      <w:r w:rsidR="0080659D">
        <w:t xml:space="preserve"> vastaan ei ol</w:t>
      </w:r>
      <w:r w:rsidR="00C57BD1">
        <w:t>la</w:t>
      </w:r>
      <w:r w:rsidR="0080659D">
        <w:t xml:space="preserve"> käynnistetty tutkintaa, ja ongelmat jatkuvat </w:t>
      </w:r>
      <w:r w:rsidR="000C32C1">
        <w:t xml:space="preserve">yhä </w:t>
      </w:r>
      <w:r w:rsidR="0080659D">
        <w:t>pahenevina rankaisemattomuuden vuoksi.</w:t>
      </w:r>
      <w:r w:rsidR="0080659D">
        <w:rPr>
          <w:rStyle w:val="FootnoteReference"/>
        </w:rPr>
        <w:footnoteReference w:id="31"/>
      </w:r>
      <w:r>
        <w:t xml:space="preserve"> </w:t>
      </w:r>
      <w:proofErr w:type="spellStart"/>
      <w:r w:rsidR="00C57BD1">
        <w:t>IHD:n</w:t>
      </w:r>
      <w:proofErr w:type="spellEnd"/>
      <w:r>
        <w:t xml:space="preserve"> asianajaverkostolta saamien tietojen mukaan </w:t>
      </w:r>
      <w:r w:rsidR="00C57BD1">
        <w:t xml:space="preserve">sukupuoli- ja seksuaalivähemmistöihin kuuluvat </w:t>
      </w:r>
      <w:r>
        <w:t>henkilöt joutuvat vankiloissa vakavan syrjinnän sekä transfobisten ja homofobisten asenteiden kohteeksi.</w:t>
      </w:r>
      <w:r>
        <w:rPr>
          <w:rStyle w:val="FootnoteReference"/>
        </w:rPr>
        <w:footnoteReference w:id="32"/>
      </w:r>
      <w:r w:rsidR="00E42B9C">
        <w:t xml:space="preserve"> </w:t>
      </w:r>
      <w:proofErr w:type="spellStart"/>
      <w:r w:rsidR="00E42B9C">
        <w:t>IHD:n</w:t>
      </w:r>
      <w:proofErr w:type="spellEnd"/>
      <w:r w:rsidR="00E42B9C">
        <w:t xml:space="preserve"> mukaan </w:t>
      </w:r>
      <w:r w:rsidR="00E42B9C" w:rsidRPr="00E42B9C">
        <w:t>vammaiset vangit ovat yksi heikommassa asemassa olevista ryhmistä, joiden oikeuksia loukataan eniten Turkin vankiloissa.</w:t>
      </w:r>
      <w:r w:rsidR="00E42B9C">
        <w:t xml:space="preserve"> </w:t>
      </w:r>
      <w:proofErr w:type="spellStart"/>
      <w:r w:rsidR="00E42B9C">
        <w:t>IHD:n</w:t>
      </w:r>
      <w:proofErr w:type="spellEnd"/>
      <w:r w:rsidR="00E42B9C">
        <w:t xml:space="preserve"> vangeilta saamista valituksista käy ilmi, että vammaiset vangit joutuvat kärsimään lukuisista oikeudenloukkauksista, jotka liittyvät heidän pidätysolosuhteisiinsa, </w:t>
      </w:r>
      <w:r w:rsidR="00C57BD1">
        <w:t>heidän oikeuteensa</w:t>
      </w:r>
      <w:r w:rsidR="00E42B9C">
        <w:t xml:space="preserve"> terveydenhuoltoon sekä </w:t>
      </w:r>
      <w:r w:rsidR="00C57BD1">
        <w:t>sen</w:t>
      </w:r>
      <w:r w:rsidR="00E42B9C">
        <w:t xml:space="preserve"> saatavuuteen.</w:t>
      </w:r>
      <w:r w:rsidR="00E42B9C">
        <w:rPr>
          <w:rStyle w:val="FootnoteReference"/>
        </w:rPr>
        <w:footnoteReference w:id="33"/>
      </w:r>
    </w:p>
    <w:p w14:paraId="2985D8F8" w14:textId="45AB1368" w:rsidR="00C45AEE" w:rsidRPr="00C45AEE" w:rsidRDefault="00C45AEE" w:rsidP="00C45AEE">
      <w:proofErr w:type="spellStart"/>
      <w:r w:rsidRPr="00C45AEE">
        <w:t>Mesapotamia</w:t>
      </w:r>
      <w:proofErr w:type="spellEnd"/>
      <w:r w:rsidRPr="00C45AEE">
        <w:t xml:space="preserve"> </w:t>
      </w:r>
      <w:proofErr w:type="spellStart"/>
      <w:r w:rsidRPr="00C45AEE">
        <w:t>Observatory</w:t>
      </w:r>
      <w:proofErr w:type="spellEnd"/>
      <w:r w:rsidRPr="00C45AEE">
        <w:t xml:space="preserve"> of </w:t>
      </w:r>
      <w:proofErr w:type="spellStart"/>
      <w:r w:rsidRPr="00C45AEE">
        <w:t>Justice</w:t>
      </w:r>
      <w:proofErr w:type="spellEnd"/>
      <w:r w:rsidRPr="00C45AEE">
        <w:t xml:space="preserve"> -ihmisoikeusjärjestön kur</w:t>
      </w:r>
      <w:r>
        <w:t>dien kieleen ja kulttuuriin kohdistuvia oikeudenloukkauksia vuonna 2025 Turkissa käsittelevän raportin mukaan v</w:t>
      </w:r>
      <w:r>
        <w:t xml:space="preserve">angeilta kielletään kurdin kielen käyttö, ja </w:t>
      </w:r>
      <w:proofErr w:type="gramStart"/>
      <w:r>
        <w:t>kurdin kieliset</w:t>
      </w:r>
      <w:proofErr w:type="gramEnd"/>
      <w:r>
        <w:t xml:space="preserve"> kirjeet ja kirjat</w:t>
      </w:r>
      <w:r>
        <w:t xml:space="preserve"> </w:t>
      </w:r>
      <w:r>
        <w:t>takavarikoidaan. Vangit, jotka jatkavat kurdin kielen käyttöä, joutuvat vankilahallinnon painostuksen kohteeksi, heitä rangaistaan (vierailukiellot, viestintäkielto jne.) ja heidän</w:t>
      </w:r>
      <w:r>
        <w:t xml:space="preserve"> </w:t>
      </w:r>
      <w:r>
        <w:t>ehdolliset vapautuksensa peruutetaan.</w:t>
      </w:r>
      <w:r>
        <w:rPr>
          <w:rStyle w:val="FootnoteReference"/>
        </w:rPr>
        <w:footnoteReference w:id="34"/>
      </w:r>
      <w:r>
        <w:t xml:space="preserve"> </w:t>
      </w:r>
      <w:r w:rsidR="002B6B53">
        <w:t xml:space="preserve"> </w:t>
      </w:r>
    </w:p>
    <w:p w14:paraId="2D89FBBC" w14:textId="7479ACF1" w:rsidR="00FA3476" w:rsidRDefault="00E42B9C" w:rsidP="00FA3476">
      <w:proofErr w:type="spellStart"/>
      <w:r>
        <w:t>IHD:n</w:t>
      </w:r>
      <w:proofErr w:type="spellEnd"/>
      <w:r>
        <w:t xml:space="preserve"> </w:t>
      </w:r>
      <w:r w:rsidR="00FA3476">
        <w:t>mukaan useat vangit olivat raportoineet</w:t>
      </w:r>
      <w:r w:rsidR="000C32C1">
        <w:t>,</w:t>
      </w:r>
      <w:r w:rsidR="00FA3476">
        <w:t xml:space="preserve"> </w:t>
      </w:r>
      <w:r w:rsidR="006C1EBD">
        <w:t>että vankiloiden henkilökunta ei lähettänyt vankien lähettämiä kurdinkielisiä kirjeitä</w:t>
      </w:r>
      <w:r w:rsidR="00932C5A">
        <w:t xml:space="preserve"> eteenpäin</w:t>
      </w:r>
      <w:r w:rsidR="00FA3476">
        <w:t>.</w:t>
      </w:r>
      <w:r w:rsidR="00FA3476">
        <w:rPr>
          <w:rStyle w:val="FootnoteReference"/>
        </w:rPr>
        <w:footnoteReference w:id="35"/>
      </w:r>
      <w:r w:rsidR="00FA3476">
        <w:t xml:space="preserve"> Kurdin kielellä kirjoitettuja kirjeitä ei luovuteta vangeille.</w:t>
      </w:r>
      <w:r w:rsidR="00FA3476">
        <w:rPr>
          <w:rStyle w:val="FootnoteReference"/>
        </w:rPr>
        <w:footnoteReference w:id="36"/>
      </w:r>
      <w:r w:rsidR="00BC250D">
        <w:t xml:space="preserve"> Järjestö raportoi vuonna 2024 Turkin vankiloissa tapahtuneen yhteensä 110 syrjintään liittyvää tapausta, joista 70 liittyi ”rasistisiin ja syrjiviin asenteisiin” ja 40 ulkomaalaisiin vankeihin kohdistettuun syrjintään. Raportissa nostetaan esimerkiksi tapaus</w:t>
      </w:r>
      <w:r w:rsidR="006C1EBD">
        <w:t>,</w:t>
      </w:r>
      <w:r w:rsidR="00BC250D">
        <w:t xml:space="preserve"> jossa vankilan henkilökunta ei antanut vangeille lupaa soittaa kurdinkielistä musiikkia heidän pyynnöstään huolimatta.</w:t>
      </w:r>
      <w:r w:rsidR="00BC250D">
        <w:rPr>
          <w:rStyle w:val="FootnoteReference"/>
        </w:rPr>
        <w:footnoteReference w:id="37"/>
      </w:r>
      <w:r w:rsidR="00F84814">
        <w:t xml:space="preserve"> </w:t>
      </w:r>
    </w:p>
    <w:p w14:paraId="089C18E6" w14:textId="621D52FC" w:rsidR="00DD42AB" w:rsidRDefault="00DD42AB" w:rsidP="00DD42AB">
      <w:pPr>
        <w:pStyle w:val="Heading1"/>
      </w:pPr>
      <w:r w:rsidRPr="00DD42AB">
        <w:lastRenderedPageBreak/>
        <w:t>Onko tiedossa, että väkivaltaa olisi kohdistettu väärennösrikoksista tuomittuihin</w:t>
      </w:r>
      <w:r w:rsidR="00F90ED9">
        <w:t xml:space="preserve"> tai</w:t>
      </w:r>
      <w:r w:rsidRPr="00DD42AB">
        <w:t xml:space="preserve"> uskonnottomiin?</w:t>
      </w:r>
    </w:p>
    <w:p w14:paraId="5360F0F5" w14:textId="4B1FDB30" w:rsidR="00F90ED9" w:rsidRPr="00F90ED9" w:rsidRDefault="00F90ED9" w:rsidP="00F90ED9">
      <w:r>
        <w:t xml:space="preserve">Saatavilla olevista lähteistä ei löytynyt tietoa siitä kohdistetaanko väkivaltaa vankiloissa </w:t>
      </w:r>
      <w:r w:rsidR="000451BB">
        <w:t>väärennösrikoksista tuomittuihin tai uskonnottomiin henkilöihin.</w:t>
      </w:r>
    </w:p>
    <w:p w14:paraId="773F5AB6" w14:textId="1244CEEC" w:rsidR="00DD42AB" w:rsidRDefault="00DD42AB" w:rsidP="00DD42AB">
      <w:pPr>
        <w:pStyle w:val="Heading1"/>
      </w:pPr>
      <w:r w:rsidRPr="00DD42AB">
        <w:t>Millaiset olosuhteet ovat Turkin vankiloissa tavallisille vangeille, ja onko viranomaisten harjoittama väkivalta kuinka yleistä heitä kohtaan?</w:t>
      </w:r>
    </w:p>
    <w:p w14:paraId="55517B0E" w14:textId="167F593C" w:rsidR="005C3A07" w:rsidRDefault="005C3A07" w:rsidP="005C3A07">
      <w:pPr>
        <w:pStyle w:val="Heading2"/>
      </w:pPr>
      <w:r>
        <w:t>Vankilaolosuhteet</w:t>
      </w:r>
    </w:p>
    <w:p w14:paraId="74C2FF2F" w14:textId="6F8F3CA6" w:rsidR="00C113C5" w:rsidRDefault="00481EF0" w:rsidP="00C113C5">
      <w:r>
        <w:t>Turkista ulkomaille paenneiden,</w:t>
      </w:r>
      <w:r w:rsidRPr="00481EF0">
        <w:t xml:space="preserve"> </w:t>
      </w:r>
      <w:proofErr w:type="spellStart"/>
      <w:r w:rsidRPr="00481EF0">
        <w:t>Gülen</w:t>
      </w:r>
      <w:proofErr w:type="spellEnd"/>
      <w:r>
        <w:t xml:space="preserve">-liikettä lähellä olevien toimittajien ylläpitämän </w:t>
      </w:r>
      <w:r w:rsidR="00C113C5">
        <w:t>Nordi</w:t>
      </w:r>
      <w:r w:rsidR="00662C52">
        <w:t>c</w:t>
      </w:r>
      <w:r w:rsidR="00C113C5">
        <w:t xml:space="preserve"> </w:t>
      </w:r>
      <w:proofErr w:type="spellStart"/>
      <w:r w:rsidR="00C113C5">
        <w:t>Monitor</w:t>
      </w:r>
      <w:proofErr w:type="spellEnd"/>
      <w:r w:rsidR="00C113C5">
        <w:t xml:space="preserve"> -sivuston 12.9.2025 julkaiseman artikkelin mukaan Turkin </w:t>
      </w:r>
      <w:r w:rsidR="00932C5A">
        <w:t>v</w:t>
      </w:r>
      <w:r w:rsidR="00C113C5" w:rsidRPr="00C113C5">
        <w:t>ankiloiden ja pidätyskeskusten</w:t>
      </w:r>
      <w:r w:rsidR="00C113C5">
        <w:t xml:space="preserve"> pääviraston julkaisemien lukujen mukaan maassa oli 1.9.2025 </w:t>
      </w:r>
      <w:r w:rsidR="00932C5A">
        <w:t xml:space="preserve">yhteensä </w:t>
      </w:r>
      <w:r w:rsidR="00C113C5" w:rsidRPr="00C113C5">
        <w:t>419</w:t>
      </w:r>
      <w:r w:rsidR="00C113C5">
        <w:t> </w:t>
      </w:r>
      <w:r w:rsidR="00C113C5" w:rsidRPr="00C113C5">
        <w:t>194</w:t>
      </w:r>
      <w:r w:rsidR="00C113C5">
        <w:t xml:space="preserve"> vankia</w:t>
      </w:r>
      <w:r w:rsidR="000C32C1">
        <w:t>,</w:t>
      </w:r>
      <w:r w:rsidR="00C113C5">
        <w:t xml:space="preserve"> joista </w:t>
      </w:r>
      <w:r w:rsidR="00C113C5" w:rsidRPr="00C113C5">
        <w:t>356</w:t>
      </w:r>
      <w:r w:rsidR="00C113C5">
        <w:t> </w:t>
      </w:r>
      <w:r w:rsidR="00C113C5" w:rsidRPr="00C113C5">
        <w:t>710</w:t>
      </w:r>
      <w:r w:rsidR="00C113C5">
        <w:t xml:space="preserve"> suoritti vankeusrangaistusta ja </w:t>
      </w:r>
      <w:r w:rsidR="00C113C5" w:rsidRPr="00C113C5">
        <w:t>62</w:t>
      </w:r>
      <w:r w:rsidR="00C113C5">
        <w:t> </w:t>
      </w:r>
      <w:r w:rsidR="00C113C5" w:rsidRPr="00C113C5">
        <w:t>484</w:t>
      </w:r>
      <w:r w:rsidR="00C113C5">
        <w:t xml:space="preserve"> oli tutkintavankeudessa. </w:t>
      </w:r>
      <w:r w:rsidR="00C113C5" w:rsidRPr="00C113C5">
        <w:t xml:space="preserve">Määrä ylittää </w:t>
      </w:r>
      <w:r w:rsidR="000C32C1">
        <w:t>vankiloiden virallisen 295 000 vangin kapasiteetin</w:t>
      </w:r>
      <w:r w:rsidR="00C113C5" w:rsidRPr="00C113C5">
        <w:t>,</w:t>
      </w:r>
      <w:r w:rsidR="00C113C5">
        <w:t xml:space="preserve"> kuormittaen maan vankeinhoitolaitosten </w:t>
      </w:r>
      <w:r w:rsidR="00C267CF">
        <w:t>toimintaa merkittävästi.</w:t>
      </w:r>
      <w:r w:rsidR="00C267CF">
        <w:rPr>
          <w:rStyle w:val="FootnoteReference"/>
        </w:rPr>
        <w:footnoteReference w:id="38"/>
      </w:r>
      <w:r w:rsidR="00BE2067" w:rsidRPr="00BE2067">
        <w:t xml:space="preserve"> </w:t>
      </w:r>
      <w:proofErr w:type="spellStart"/>
      <w:r w:rsidR="00BE2067">
        <w:t>IHD:n</w:t>
      </w:r>
      <w:proofErr w:type="spellEnd"/>
      <w:r w:rsidR="00BE2067">
        <w:t xml:space="preserve"> Turkin ihmisoikeusloukkauksia vuonna 2024 kuvaavan raportin mukaan monissa vankiloissa vankien on todettu kärsivän </w:t>
      </w:r>
      <w:r>
        <w:t xml:space="preserve">tilan </w:t>
      </w:r>
      <w:r w:rsidR="00BE2067">
        <w:t>ahtaudesta johtuvista majoitusongelmista, ja niissä todettu ongelmia lämmityksen, ruokailun ja</w:t>
      </w:r>
      <w:r w:rsidR="000C32C1">
        <w:t xml:space="preserve"> </w:t>
      </w:r>
      <w:r w:rsidR="00BE2067">
        <w:t>puhtaan veden suhteen.</w:t>
      </w:r>
      <w:r w:rsidR="00BE2067">
        <w:rPr>
          <w:rStyle w:val="FootnoteReference"/>
        </w:rPr>
        <w:footnoteReference w:id="39"/>
      </w:r>
      <w:r w:rsidR="00BE2067">
        <w:t xml:space="preserve"> </w:t>
      </w:r>
    </w:p>
    <w:p w14:paraId="655FEACC" w14:textId="25AC5CB1" w:rsidR="000123FC" w:rsidRDefault="000C32C1" w:rsidP="00BA49E3">
      <w:proofErr w:type="spellStart"/>
      <w:r>
        <w:t>O</w:t>
      </w:r>
      <w:r w:rsidR="005C3A07" w:rsidRPr="00662C52">
        <w:t>MCT</w:t>
      </w:r>
      <w:r w:rsidR="00481EF0">
        <w:t>:</w:t>
      </w:r>
      <w:r w:rsidR="00932C5A">
        <w:t>n</w:t>
      </w:r>
      <w:proofErr w:type="spellEnd"/>
      <w:r w:rsidR="00481EF0">
        <w:t xml:space="preserve"> </w:t>
      </w:r>
      <w:r w:rsidR="005C3A07">
        <w:t>6.3.2026. julka</w:t>
      </w:r>
      <w:r w:rsidR="00481EF0">
        <w:t>iseman</w:t>
      </w:r>
      <w:r w:rsidR="005C3A07">
        <w:t xml:space="preserve"> Turkkia käsittelevän raportin</w:t>
      </w:r>
      <w:r w:rsidR="003167CD">
        <w:t xml:space="preserve"> mukaan</w:t>
      </w:r>
      <w:r>
        <w:t xml:space="preserve"> T</w:t>
      </w:r>
      <w:r w:rsidR="00BA49E3">
        <w:t xml:space="preserve">urkin vankiloiden olot </w:t>
      </w:r>
      <w:r w:rsidR="00481EF0">
        <w:t>ovat johtaneet</w:t>
      </w:r>
      <w:r w:rsidR="00BA49E3">
        <w:t xml:space="preserve"> vakavi</w:t>
      </w:r>
      <w:r w:rsidR="00481EF0">
        <w:t>in</w:t>
      </w:r>
      <w:r w:rsidR="00BA49E3">
        <w:t xml:space="preserve"> </w:t>
      </w:r>
      <w:r w:rsidR="00481EF0">
        <w:t>vankeihin kohdistettuihin oikeudenloukkauksiin</w:t>
      </w:r>
      <w:r w:rsidR="00BA49E3">
        <w:t xml:space="preserve">, erityisesti </w:t>
      </w:r>
      <w:r w:rsidR="00481EF0">
        <w:t xml:space="preserve">tilojen </w:t>
      </w:r>
      <w:r w:rsidR="00BA49E3">
        <w:t xml:space="preserve">ylikuormituksen, puutteellisen terveydenhuollon ja haavoittuvien väestöryhmien kohtelun osalta. Vankilakanta on kasvanut merkittävästi, mikä on johtanut yli 110 prosentin ylikuormitusasteeseen koko vankilajärjestelmässä. Vankilajärjestelmässä on pulaa terveydenhuollon ammattilaisista, mikä </w:t>
      </w:r>
      <w:r w:rsidR="00481EF0">
        <w:t xml:space="preserve">on johtanut </w:t>
      </w:r>
      <w:r w:rsidR="00BA49E3">
        <w:t xml:space="preserve">puutteelliseen lääketieteelliseen hoitoon ja </w:t>
      </w:r>
      <w:r w:rsidR="00481EF0">
        <w:t xml:space="preserve">sairaiden vankien </w:t>
      </w:r>
      <w:r w:rsidR="00BA49E3">
        <w:t>siirtoihin, joista päättävät vankilahallinnon virkamiehet eikä hoitohenkilökunta. Vangeilta</w:t>
      </w:r>
      <w:r w:rsidR="007019DE">
        <w:t>,</w:t>
      </w:r>
      <w:r w:rsidR="00BA49E3">
        <w:t xml:space="preserve"> joilla on hengenvaarallinen sairaus</w:t>
      </w:r>
      <w:r w:rsidR="007019DE">
        <w:t>,</w:t>
      </w:r>
      <w:r w:rsidR="00BA49E3">
        <w:t xml:space="preserve"> evätään väliaikainen vapauttaminen </w:t>
      </w:r>
      <w:r w:rsidR="00481EF0">
        <w:t xml:space="preserve">terveydenhuollon saamiseksi </w:t>
      </w:r>
      <w:r w:rsidR="00BA49E3">
        <w:t xml:space="preserve">sillä perusteella, että heidän väitetään muodostavan uhan yleiselle turvallisuudelle. </w:t>
      </w:r>
      <w:r w:rsidR="007019DE">
        <w:t>Hiljattain</w:t>
      </w:r>
      <w:r w:rsidR="00BA49E3">
        <w:t xml:space="preserve"> synnyttäneet naiset joutuvat elämään puutteellisissa olosuhteissa ja saavat riittämätöntä terveydenhuoltoa, kun taas pidätettyinä olevat lapset eivät saa tarvitsemaansa koulutus- ja kuntoutustukea. Ehdonalaise</w:t>
      </w:r>
      <w:r w:rsidR="00481EF0">
        <w:t>sta vapautuksesta</w:t>
      </w:r>
      <w:r w:rsidR="00BA49E3">
        <w:t xml:space="preserve"> päättävillä hallinto- ja tarkkailulautakunnilla ei</w:t>
      </w:r>
      <w:r w:rsidR="007019DE">
        <w:t>vät</w:t>
      </w:r>
      <w:r w:rsidR="00BA49E3">
        <w:t xml:space="preserve"> ole riippumattomuutta, ja ne toimivat usein mielivaltaisesti, mikä vaikuttaa erityisesti ihmisoikeuspuolustajiin, toimittajiin ja poliittisista syistä tuomittuihin vankeihin.</w:t>
      </w:r>
      <w:r w:rsidR="00BA49E3">
        <w:rPr>
          <w:rStyle w:val="FootnoteReference"/>
        </w:rPr>
        <w:footnoteReference w:id="40"/>
      </w:r>
      <w:r w:rsidR="00BA49E3">
        <w:t xml:space="preserve"> </w:t>
      </w:r>
    </w:p>
    <w:p w14:paraId="3EF566A4" w14:textId="2834E87D" w:rsidR="000A65E8" w:rsidRDefault="000A65E8" w:rsidP="00672699">
      <w:r>
        <w:t>YK:n kidutuksen vastaisen komitea</w:t>
      </w:r>
      <w:r w:rsidR="00672699">
        <w:t>n</w:t>
      </w:r>
      <w:r>
        <w:t xml:space="preserve"> 14.8.2024 julkaistu</w:t>
      </w:r>
      <w:r w:rsidR="00672699">
        <w:t>n raportin mukaan Turkin vankilajärjestelmässä on pulaa terveydenhuollon ammattilaisista</w:t>
      </w:r>
      <w:r w:rsidR="007019DE">
        <w:t>. V</w:t>
      </w:r>
      <w:r w:rsidR="00672699">
        <w:t xml:space="preserve">ankeja sidotaan usein ja pidetään epäasianmukaisissa olosuhteissa </w:t>
      </w:r>
      <w:r w:rsidR="00C577C2">
        <w:t xml:space="preserve">silloin </w:t>
      </w:r>
      <w:r w:rsidR="00672699">
        <w:t>kun</w:t>
      </w:r>
      <w:r w:rsidR="00C577C2">
        <w:t xml:space="preserve"> vankeja</w:t>
      </w:r>
      <w:r w:rsidR="00672699">
        <w:t xml:space="preserve"> siirretään terveydenhuoltolaitoksiin ja hoidon aikana. Komitea on huolissaan myös saamistaan tiedoista, joiden mukaan vankien sairaalaan siirtämistä koskevat päätökset tehdään toisinaan vankilahallinnon edustajien eikä terveydenhuollon ammattilaisten toimesta,</w:t>
      </w:r>
      <w:r w:rsidR="00C577C2">
        <w:t xml:space="preserve"> siitä</w:t>
      </w:r>
      <w:r w:rsidR="00672699">
        <w:t xml:space="preserve"> että vanginvartijat ovat usein läsnä lääkärintarkastusten ja hoidon aikana ja </w:t>
      </w:r>
      <w:r w:rsidR="00C577C2">
        <w:t xml:space="preserve">siitä </w:t>
      </w:r>
      <w:r w:rsidR="00672699">
        <w:t xml:space="preserve">että </w:t>
      </w:r>
      <w:r w:rsidR="00672699">
        <w:lastRenderedPageBreak/>
        <w:t>hengenvaarallisista sairauksista kärsiviltä vangeilta evätään väliaikainen vapauttaminen sillä perusteella, että he muodostavat väitetysti uhan yleiselle turvallisuudelle.</w:t>
      </w:r>
      <w:r w:rsidR="00672699">
        <w:rPr>
          <w:rStyle w:val="FootnoteReference"/>
        </w:rPr>
        <w:footnoteReference w:id="41"/>
      </w:r>
    </w:p>
    <w:p w14:paraId="423D62E7" w14:textId="6CC9FB95" w:rsidR="00BE2067" w:rsidRDefault="007B284A" w:rsidP="00BE2067">
      <w:proofErr w:type="spellStart"/>
      <w:r>
        <w:t>IHD:n</w:t>
      </w:r>
      <w:proofErr w:type="spellEnd"/>
      <w:r>
        <w:t xml:space="preserve"> Turki</w:t>
      </w:r>
      <w:r w:rsidR="00A72CF4">
        <w:t xml:space="preserve">ssa tapahtuvia oikeudenloukkauksia </w:t>
      </w:r>
      <w:r>
        <w:t>vuonna 2024 kuvaavan vuosiraportin mukaan monissa vankiloissa todettiin</w:t>
      </w:r>
      <w:r w:rsidR="00A72CF4">
        <w:t xml:space="preserve"> tapahtuneen</w:t>
      </w:r>
      <w:r>
        <w:t xml:space="preserve"> </w:t>
      </w:r>
      <w:r w:rsidR="007019DE">
        <w:t>loukkauksia terveydenhuolto-oikeutta kohtaan</w:t>
      </w:r>
      <w:r>
        <w:t xml:space="preserve">, </w:t>
      </w:r>
      <w:r w:rsidR="007019DE">
        <w:t>mikä</w:t>
      </w:r>
      <w:r>
        <w:t xml:space="preserve"> on ilmennyt vankien sairaalakuljetusten lykkäämisinä ja lääkkeiden antamatta jättämisinä.</w:t>
      </w:r>
      <w:r>
        <w:rPr>
          <w:rStyle w:val="FootnoteReference"/>
        </w:rPr>
        <w:footnoteReference w:id="42"/>
      </w:r>
      <w:r>
        <w:t xml:space="preserve"> </w:t>
      </w:r>
      <w:r w:rsidR="00BE2067">
        <w:t xml:space="preserve">Alankomaalaisen </w:t>
      </w:r>
      <w:proofErr w:type="spellStart"/>
      <w:r w:rsidR="00BE2067">
        <w:t>Justice</w:t>
      </w:r>
      <w:proofErr w:type="spellEnd"/>
      <w:r w:rsidR="00BE2067">
        <w:t xml:space="preserve"> Square-ihmisoikeusjärjestön</w:t>
      </w:r>
      <w:r w:rsidR="00C577C2">
        <w:t xml:space="preserve"> Turkin vankiloissa tapahtuvia</w:t>
      </w:r>
      <w:r w:rsidR="00BE2067">
        <w:t xml:space="preserve"> terveyteen liittyviä oikeudenloukkauksia käsittelevän raportin mukaan vankilahallinnon mielivaltaiset ja syrjivät käytännöt aiheuttavat vakavia häiriöitä terveydenhuoltopalveluissa. </w:t>
      </w:r>
      <w:r w:rsidR="00C577C2">
        <w:t>Raportin mukaan v</w:t>
      </w:r>
      <w:r w:rsidR="00BE2067">
        <w:t xml:space="preserve">ankiloiden hallinnolliset ongelmat sekä terveydenhuoltopalvelujen puutteellisuus ja ylikuormitus lisäävät ongelmia, joita vankiloissa koetaan terveydenhuollon saatavuuden suhteen. </w:t>
      </w:r>
      <w:r w:rsidR="00906442" w:rsidRPr="00906442">
        <w:t>vankeja kuolee monissa vankiloissa akuutteihin sairauksiin kuten sydänkohtauksiin, jotka olisivat estettävissä oikea-aikaisilla toimenpiteillä</w:t>
      </w:r>
      <w:r w:rsidR="00BE2067">
        <w:t>, erityisesti sydänkohtaukset</w:t>
      </w:r>
      <w:r w:rsidR="00906442">
        <w:t>.</w:t>
      </w:r>
      <w:r w:rsidR="00BE2067">
        <w:t xml:space="preserve"> </w:t>
      </w:r>
      <w:r w:rsidR="00906442">
        <w:t xml:space="preserve">Terveyteen liittyvät oikeudenloukkaukset </w:t>
      </w:r>
      <w:r w:rsidR="00BE2067">
        <w:t xml:space="preserve">johtuvat riittävien terveyspalvelujen ja henkilöstön puutteesta, terveydenhuoltohenkilöstön </w:t>
      </w:r>
      <w:r w:rsidR="00C577C2">
        <w:t>ympärivuorokautisten</w:t>
      </w:r>
      <w:r w:rsidR="00BE2067">
        <w:t xml:space="preserve"> vuorojen</w:t>
      </w:r>
      <w:r w:rsidR="00C577C2">
        <w:t xml:space="preserve">, </w:t>
      </w:r>
      <w:r w:rsidR="00BE2067">
        <w:t>hätäambulanssipalvelujen</w:t>
      </w:r>
      <w:r w:rsidR="00C577C2">
        <w:t xml:space="preserve">, </w:t>
      </w:r>
      <w:r w:rsidR="00BE2067">
        <w:t xml:space="preserve">tai oikea-aikaisen tai säännöllisen </w:t>
      </w:r>
      <w:r w:rsidR="00C577C2">
        <w:t xml:space="preserve">tutkimus- ja hoitokeskuksiin tehtävien </w:t>
      </w:r>
      <w:r w:rsidR="00BE2067">
        <w:t>kuljetuksen puutteesta.</w:t>
      </w:r>
      <w:r w:rsidR="00BE2067">
        <w:rPr>
          <w:rStyle w:val="FootnoteReference"/>
        </w:rPr>
        <w:footnoteReference w:id="43"/>
      </w:r>
      <w:r w:rsidR="0044662A">
        <w:t xml:space="preserve"> </w:t>
      </w:r>
    </w:p>
    <w:p w14:paraId="704B6CC4" w14:textId="5F8BB3E8" w:rsidR="00F90ED9" w:rsidRDefault="00C577C2" w:rsidP="00F90ED9">
      <w:r>
        <w:t xml:space="preserve">Turkkilaisen </w:t>
      </w:r>
      <w:r w:rsidR="00F90ED9">
        <w:t>TIHV</w:t>
      </w:r>
      <w:r>
        <w:t xml:space="preserve"> </w:t>
      </w:r>
      <w:r w:rsidRPr="0046269D">
        <w:t>(</w:t>
      </w:r>
      <w:proofErr w:type="spellStart"/>
      <w:r w:rsidRPr="0046269D">
        <w:t>Türkiye</w:t>
      </w:r>
      <w:proofErr w:type="spellEnd"/>
      <w:r w:rsidRPr="0046269D">
        <w:t xml:space="preserve"> </w:t>
      </w:r>
      <w:proofErr w:type="spellStart"/>
      <w:r w:rsidRPr="0046269D">
        <w:t>İnsan</w:t>
      </w:r>
      <w:proofErr w:type="spellEnd"/>
      <w:r w:rsidRPr="0046269D">
        <w:t xml:space="preserve"> </w:t>
      </w:r>
      <w:proofErr w:type="spellStart"/>
      <w:r w:rsidRPr="0046269D">
        <w:t>Hakları</w:t>
      </w:r>
      <w:proofErr w:type="spellEnd"/>
      <w:r w:rsidRPr="0046269D">
        <w:t xml:space="preserve"> </w:t>
      </w:r>
      <w:proofErr w:type="spellStart"/>
      <w:proofErr w:type="gramStart"/>
      <w:r w:rsidRPr="0046269D">
        <w:t>Vakfı</w:t>
      </w:r>
      <w:proofErr w:type="spellEnd"/>
      <w:r w:rsidRPr="0046269D">
        <w:t>)</w:t>
      </w:r>
      <w:r>
        <w:t>-</w:t>
      </w:r>
      <w:proofErr w:type="gramEnd"/>
      <w:r>
        <w:t>ihmisoikeusjärjestön</w:t>
      </w:r>
      <w:r w:rsidR="00F90ED9">
        <w:t xml:space="preserve"> kidutusta Turkissa vuonna 2024 kuvaavan vuosiraportin mukaan</w:t>
      </w:r>
      <w:r w:rsidR="00F90ED9" w:rsidRPr="00F90ED9">
        <w:t xml:space="preserve"> </w:t>
      </w:r>
      <w:r w:rsidR="00906442">
        <w:t>t</w:t>
      </w:r>
      <w:r w:rsidR="00F90ED9">
        <w:t xml:space="preserve">erveydenhuollon </w:t>
      </w:r>
      <w:r w:rsidR="00906442">
        <w:t>saannin</w:t>
      </w:r>
      <w:r w:rsidR="00F90ED9">
        <w:t xml:space="preserve"> estäminen mainitaan neljässä viidestä </w:t>
      </w:r>
      <w:r>
        <w:t xml:space="preserve">sen vangeilta saamissa </w:t>
      </w:r>
      <w:r w:rsidR="00F90ED9">
        <w:t>valituksesta, ja pitkäaikaisvankien keskuudessa tämä osuus nousee 90 prosenttiin</w:t>
      </w:r>
      <w:r>
        <w:t xml:space="preserve"> valituksista</w:t>
      </w:r>
      <w:r w:rsidR="00F90ED9">
        <w:t xml:space="preserve">. Vankiloista saatujen </w:t>
      </w:r>
      <w:r>
        <w:t>rajallisten</w:t>
      </w:r>
      <w:r w:rsidR="00F90ED9">
        <w:t xml:space="preserve"> tietojen ja</w:t>
      </w:r>
      <w:r>
        <w:t xml:space="preserve"> järjestön vangeilta saamien</w:t>
      </w:r>
      <w:r w:rsidR="00F90ED9">
        <w:t xml:space="preserve"> valitusten perusteella </w:t>
      </w:r>
      <w:r>
        <w:t>TIHV arvioi</w:t>
      </w:r>
      <w:r w:rsidR="00F90ED9">
        <w:t>, että vankien terveydenhuoltoon</w:t>
      </w:r>
      <w:r>
        <w:t xml:space="preserve"> pääsyyn</w:t>
      </w:r>
      <w:r w:rsidR="00F90ED9">
        <w:t xml:space="preserve">, </w:t>
      </w:r>
      <w:r>
        <w:t xml:space="preserve">sekä </w:t>
      </w:r>
      <w:r w:rsidR="00F90ED9">
        <w:t>ruo</w:t>
      </w:r>
      <w:r>
        <w:t>an</w:t>
      </w:r>
      <w:r w:rsidR="00F90ED9">
        <w:t xml:space="preserve"> ja ve</w:t>
      </w:r>
      <w:r>
        <w:t>den</w:t>
      </w:r>
      <w:r w:rsidR="00F90ED9">
        <w:t xml:space="preserve"> sekä hygieniatuott</w:t>
      </w:r>
      <w:r>
        <w:t xml:space="preserve">eiden saatavuuden rajoittaminen </w:t>
      </w:r>
      <w:r w:rsidR="00AE6900">
        <w:t>voidaan luokitella kidutukseksi tai kaltoinkohteluksi.</w:t>
      </w:r>
      <w:r w:rsidR="00F90ED9">
        <w:t xml:space="preserve"> </w:t>
      </w:r>
      <w:r w:rsidR="00AE6900">
        <w:t>T</w:t>
      </w:r>
      <w:r w:rsidR="00F90ED9">
        <w:t xml:space="preserve">erveydenhuollon saatavuuden estäminen pahentaa entisestään sairaiden vankien tilannetta, mikä on merkittävä ongelma vankiloissa. Vankien terveysongelmien ratkaisematta jättäminen ajoissa ja </w:t>
      </w:r>
      <w:r w:rsidR="00A72CF4">
        <w:t>diagnosointiin ja hoitoon tarkoitettujen kuljetusten viivästyminen</w:t>
      </w:r>
      <w:r w:rsidR="00F90ED9">
        <w:t>, vankiloissa tarjottavien terveyspalvelujen riittämättömyys, oikeuslääketieteelliseen laitokseen, tuomioistuimeen ja muualle pääsyn epääminen, oikeuden epääminen päästä vankilan sairastupaan, käsirautojen käyttö</w:t>
      </w:r>
      <w:r w:rsidR="00AE6900">
        <w:t xml:space="preserve"> vankien kuljetuksessa</w:t>
      </w:r>
      <w:r w:rsidR="00F90ED9">
        <w:t xml:space="preserve"> oikeuslääketieteelliseen laitokseen, oikeustaloon ja sairaalaan, sairaiden vankien kuljettaminen sopimattomilla kuljetusajoneuvoilla sekä heidän </w:t>
      </w:r>
      <w:r w:rsidR="00AE6900">
        <w:t>siirtämisensä toisiin vankiloihin</w:t>
      </w:r>
      <w:r w:rsidR="00F90ED9">
        <w:t xml:space="preserve"> hoidon ja seurannan sijaan rajoittavat tai estävät vankien oikeutta terveydenhuoltopalveluihin.</w:t>
      </w:r>
      <w:r w:rsidR="00F90ED9">
        <w:rPr>
          <w:rStyle w:val="FootnoteReference"/>
        </w:rPr>
        <w:t xml:space="preserve"> </w:t>
      </w:r>
      <w:r w:rsidR="00F90ED9">
        <w:rPr>
          <w:rStyle w:val="FootnoteReference"/>
        </w:rPr>
        <w:footnoteReference w:id="44"/>
      </w:r>
    </w:p>
    <w:p w14:paraId="65A15563" w14:textId="0D81A7C0" w:rsidR="00F84814" w:rsidRDefault="00F84814" w:rsidP="00BA49E3">
      <w:proofErr w:type="spellStart"/>
      <w:r>
        <w:t>IHD:n</w:t>
      </w:r>
      <w:proofErr w:type="spellEnd"/>
      <w:r>
        <w:t xml:space="preserve"> oikeudenloukkauksia Turkin vankiloissa </w:t>
      </w:r>
      <w:r w:rsidR="00AE6900">
        <w:t xml:space="preserve">vuonna 2024 </w:t>
      </w:r>
      <w:r>
        <w:t xml:space="preserve">kuvaavan </w:t>
      </w:r>
      <w:r w:rsidR="00AE6900">
        <w:t>vuosi</w:t>
      </w:r>
      <w:r>
        <w:t xml:space="preserve">raportin mukaan monissa vankiloissa vankien laillisia oikeuksia osallistua sosiaaliseen toimintaan rajoitetaan tai supistetaan. </w:t>
      </w:r>
      <w:r w:rsidR="00AE6900">
        <w:t>IHD on saanut</w:t>
      </w:r>
      <w:r>
        <w:t xml:space="preserve"> lukuisia valituksia, joissa </w:t>
      </w:r>
      <w:r w:rsidR="005D1938">
        <w:t xml:space="preserve">sosiaalisten </w:t>
      </w:r>
      <w:r>
        <w:t>toimintojen kestoa on lyhennetty, toimintoihin osallistuvien vankien määrää rajoitettu tai vankeja pakotettu osallistumaan toimintoihin jatkuvasti samojen henkilöiden kanssa.</w:t>
      </w:r>
      <w:r>
        <w:rPr>
          <w:rStyle w:val="FootnoteReference"/>
        </w:rPr>
        <w:footnoteReference w:id="45"/>
      </w:r>
      <w:r>
        <w:t xml:space="preserve"> IHD raportoi myös rajoituksista vankien yhteydenpitoon liittyviin oikeuksiin, kuten videopuheluoikeuksien</w:t>
      </w:r>
      <w:r w:rsidR="00AE6900">
        <w:t xml:space="preserve"> ja</w:t>
      </w:r>
      <w:r>
        <w:t xml:space="preserve"> kirjeenvaihto-oikeuksien estämisestä. Vaikka videopuheluoikeus on 60 minuuttia viikossa, poliittiset vangit saavat soittaa vain 10 minuuttia viikossa ja vain äänipuheluina. Ulkomaalaisten vankien perheet eivät</w:t>
      </w:r>
      <w:r w:rsidR="00AE6900">
        <w:t xml:space="preserve"> aina</w:t>
      </w:r>
      <w:r>
        <w:t xml:space="preserve"> pysty maksamaan puhelumaksuja, koska ne ovat liian korkeat heidän taloudelliseen tilanteeseensa nähden, ja </w:t>
      </w:r>
      <w:r w:rsidR="00AE6900">
        <w:t>jolloin</w:t>
      </w:r>
      <w:r>
        <w:t xml:space="preserve"> heidän oikeuttansa viestintään estetään. Ihmisoikeusjärjestölle ja muille tahoille lähetetyt kirjeet takavarikoidaan, ja vangeille tehdään näiden kirjeiden vuoksi kuulusteluja. </w:t>
      </w:r>
      <w:r w:rsidR="00AE6900">
        <w:t xml:space="preserve">Joissain tapauksissa vankien lähettämistä kirjeistä </w:t>
      </w:r>
      <w:r w:rsidR="00AE6900">
        <w:lastRenderedPageBreak/>
        <w:t>on mustattu kohdat</w:t>
      </w:r>
      <w:r w:rsidR="00906442">
        <w:t>,</w:t>
      </w:r>
      <w:r w:rsidR="00AE6900">
        <w:t xml:space="preserve"> joissa he kertovat vankiloissa tapahtuneista oikeudenloukkauksista</w:t>
      </w:r>
      <w:r>
        <w:t>.</w:t>
      </w:r>
      <w:r>
        <w:rPr>
          <w:rStyle w:val="FootnoteReference"/>
        </w:rPr>
        <w:footnoteReference w:id="46"/>
      </w:r>
      <w:r w:rsidRPr="00F84814">
        <w:t xml:space="preserve"> </w:t>
      </w:r>
      <w:r>
        <w:t xml:space="preserve">IHD on saanut myös raportteja vankien vierailuoikeuksien rajoituksista. Tähän on lukeutunut </w:t>
      </w:r>
      <w:r w:rsidRPr="00097764">
        <w:t>vankien perhe- ja ystävävierailuoikeuksien estämistä sekä vierailuaikojen rajoittamista</w:t>
      </w:r>
      <w:r>
        <w:t>.</w:t>
      </w:r>
      <w:r>
        <w:rPr>
          <w:rStyle w:val="FootnoteReference"/>
        </w:rPr>
        <w:footnoteReference w:id="47"/>
      </w:r>
      <w:r>
        <w:t xml:space="preserve"> </w:t>
      </w:r>
      <w:proofErr w:type="spellStart"/>
      <w:r w:rsidR="002A49E2">
        <w:t>IHD:n</w:t>
      </w:r>
      <w:proofErr w:type="spellEnd"/>
      <w:r w:rsidR="002A49E2">
        <w:t xml:space="preserve"> mukaan vankien oikeutta koulutukseen on rajoitettu erityisesti avovankiloissa.</w:t>
      </w:r>
      <w:r w:rsidR="002A49E2">
        <w:rPr>
          <w:rStyle w:val="FootnoteReference"/>
        </w:rPr>
        <w:footnoteReference w:id="48"/>
      </w:r>
    </w:p>
    <w:p w14:paraId="6C36201D" w14:textId="48090FD1" w:rsidR="006E3C97" w:rsidRDefault="006E3C97" w:rsidP="006E3C97">
      <w:proofErr w:type="spellStart"/>
      <w:r>
        <w:t>TIHV:n</w:t>
      </w:r>
      <w:proofErr w:type="spellEnd"/>
      <w:r>
        <w:t xml:space="preserve"> </w:t>
      </w:r>
      <w:r w:rsidR="00AE6900">
        <w:t xml:space="preserve">kidutusta Turkissa vuonna 2024 kuvaavan raportin </w:t>
      </w:r>
      <w:r>
        <w:t>mukaan COVID-19-pandemian vuoksi rajoitettujen tai poistettujen sosiaalisten oikeuksien ja perustarpeisiin liittyvien esteiden vaikutukset jatku</w:t>
      </w:r>
      <w:r w:rsidR="00906442">
        <w:t>i</w:t>
      </w:r>
      <w:r>
        <w:t xml:space="preserve">vat. Vankien inhimillisten kontaktien ja viestinnän katkaiseminen, ympäristön ärsykkeiden rajoittaminen, </w:t>
      </w:r>
      <w:r w:rsidR="00AE6900">
        <w:t>vankien</w:t>
      </w:r>
      <w:r>
        <w:t xml:space="preserve"> henkilökohtaise</w:t>
      </w:r>
      <w:r w:rsidR="00AE6900">
        <w:t xml:space="preserve">en kehitykseen </w:t>
      </w:r>
      <w:r>
        <w:t xml:space="preserve">tarkoitetun toiminnan estäminen, eristys- ja eristämiskäytännöt, kurinpitoseuraamukset sekä hallinto- ja tarkkailulautakuntien antamat mielivaltaiset päätökset </w:t>
      </w:r>
      <w:r w:rsidR="00906442">
        <w:t>vaikeuttavat</w:t>
      </w:r>
      <w:r>
        <w:t xml:space="preserve"> tilannetta entisestään.</w:t>
      </w:r>
      <w:r>
        <w:rPr>
          <w:rStyle w:val="FootnoteReference"/>
        </w:rPr>
        <w:footnoteReference w:id="49"/>
      </w:r>
    </w:p>
    <w:p w14:paraId="1E429763" w14:textId="4B858275" w:rsidR="00BE2067" w:rsidRDefault="00BE2067" w:rsidP="00BA49E3">
      <w:proofErr w:type="spellStart"/>
      <w:r>
        <w:t>IHD:n</w:t>
      </w:r>
      <w:proofErr w:type="spellEnd"/>
      <w:r>
        <w:t xml:space="preserve"> Turkin vankilaoloja vuonna 2024 kuvaavassa vuosiraportissa kerrotaan järjestön saaneen tietoonsa yhteensä 329 ilmanvaihtoon liittyvää vankeihin kohdistettua rikkomusta, kuten ulkoiluoikeuden kieltämistä (252 tapausta).</w:t>
      </w:r>
      <w:r>
        <w:rPr>
          <w:rStyle w:val="FootnoteReference"/>
        </w:rPr>
        <w:footnoteReference w:id="50"/>
      </w:r>
      <w:r>
        <w:t xml:space="preserve"> Se raportoi myös saaneensa </w:t>
      </w:r>
      <w:r w:rsidR="005D1938">
        <w:t>tietoonsa</w:t>
      </w:r>
      <w:r>
        <w:t xml:space="preserve"> yhteensä 453 tilankäyttöön liittyvistä loukkauksista, kuten </w:t>
      </w:r>
      <w:r w:rsidR="006F7401">
        <w:t xml:space="preserve">tapauksista joissa vankeja ollaan kielletty </w:t>
      </w:r>
      <w:r>
        <w:t>vaihtaa huonetta vangin pyynnöstä (316 tapausta), sekä tapauksista joissa vammaisia vankeja siirrettiin huoneesta toiseen ilman heidän pyyntöään (181 tapausta),</w:t>
      </w:r>
      <w:r>
        <w:rPr>
          <w:rStyle w:val="FootnoteReference"/>
        </w:rPr>
        <w:footnoteReference w:id="51"/>
      </w:r>
      <w:r>
        <w:t xml:space="preserve"> sekä 204 tapausta </w:t>
      </w:r>
      <w:r w:rsidR="00AE6900">
        <w:t>joissa vankien yksityisyydensuojaa rikottiin valvontakameroilla</w:t>
      </w:r>
      <w:r>
        <w:t>.</w:t>
      </w:r>
      <w:r>
        <w:rPr>
          <w:rStyle w:val="FootnoteReference"/>
        </w:rPr>
        <w:footnoteReference w:id="52"/>
      </w:r>
      <w:r>
        <w:t xml:space="preserve"> Vuonna 2024 vankiloissa tapahtui </w:t>
      </w:r>
      <w:proofErr w:type="spellStart"/>
      <w:r w:rsidR="00AE6900">
        <w:t>IHD:n</w:t>
      </w:r>
      <w:proofErr w:type="spellEnd"/>
      <w:r w:rsidR="00AE6900">
        <w:t xml:space="preserve"> saamien valitusten mukaan </w:t>
      </w:r>
      <w:r>
        <w:t xml:space="preserve">vähintään 3261 viestintäoikeuden loukkausta ja 476 mielivaltaista kurinpitoseuraamusta. 855 vankia siirrettiin vastoin tahtoaan perheistään kauimpana sijaitseviin vankiloihin. </w:t>
      </w:r>
      <w:proofErr w:type="spellStart"/>
      <w:r>
        <w:t>IHD:n</w:t>
      </w:r>
      <w:proofErr w:type="spellEnd"/>
      <w:r>
        <w:t xml:space="preserve"> tietojen mukaan vuonna 2024 157 vankia oli nälkälakossa </w:t>
      </w:r>
      <w:r w:rsidR="00AE6900">
        <w:t>protestina heihin kohdistettuihin oikeudenloukkauksiin</w:t>
      </w:r>
      <w:r>
        <w:t>.</w:t>
      </w:r>
      <w:r>
        <w:rPr>
          <w:rStyle w:val="FootnoteReference"/>
        </w:rPr>
        <w:footnoteReference w:id="53"/>
      </w:r>
    </w:p>
    <w:p w14:paraId="0AE077BB" w14:textId="6682BC80" w:rsidR="00445565" w:rsidRDefault="00445565" w:rsidP="00F80E1F">
      <w:r>
        <w:t xml:space="preserve">IHD on saanut raportteja </w:t>
      </w:r>
      <w:r w:rsidR="00AE6900">
        <w:t>siitä,</w:t>
      </w:r>
      <w:r>
        <w:t xml:space="preserve"> että vangeille ei luovuteta heidän perheidensä heille lähettämiä tavaroita, kuten vaatteita, mikä pakottaa heidät ostamaan tavaroita vankiloiden kanttiineista.</w:t>
      </w:r>
      <w:r>
        <w:rPr>
          <w:rStyle w:val="FootnoteReference"/>
        </w:rPr>
        <w:footnoteReference w:id="54"/>
      </w:r>
      <w:r>
        <w:t xml:space="preserve"> </w:t>
      </w:r>
      <w:proofErr w:type="spellStart"/>
      <w:r>
        <w:t>IHD</w:t>
      </w:r>
      <w:r w:rsidR="00AE6900">
        <w:t>:n</w:t>
      </w:r>
      <w:proofErr w:type="spellEnd"/>
      <w:r w:rsidR="00AE6900">
        <w:t xml:space="preserve"> mukaan </w:t>
      </w:r>
      <w:r>
        <w:t xml:space="preserve">yksi vankiloiden suurimmista ongelmista on vankien taloudelliset vaikeudet. Erityisesti vankien perheiden köyhyys johtaa myös vankien köyhyyteen. </w:t>
      </w:r>
      <w:r w:rsidR="00796430">
        <w:t>Tähän liittyy se, että kaikki tavara vankiloissa tulee hankkia</w:t>
      </w:r>
      <w:r>
        <w:t xml:space="preserve"> maksua vastaan kanttiinista. </w:t>
      </w:r>
      <w:r w:rsidR="00796430">
        <w:t>V</w:t>
      </w:r>
      <w:r>
        <w:t>iestintävälineiden, kuten postin ja puhelinkorttien, maksullisuus estää vankien yhteydenpidon ulkomaailmaan. Myös sellissä käytettävien välttämättömien laitteiden, kuten television, jääkaapin ja vedenkeittimen, sähkönkulutuksen maksullisuus ja maksujen periminen vankien tileiltä lisää köyhyyttä.</w:t>
      </w:r>
      <w:r w:rsidR="00F80E1F">
        <w:t xml:space="preserve"> Kanttiinissa myytävät tuotteet ovat valikoimaltaan vähäisiä, huonolaatuisia ja hinnat korkeita. Tämä </w:t>
      </w:r>
      <w:r w:rsidR="00796430">
        <w:t xml:space="preserve">aiheuttaa ongelmia joidenkin vankien kohdalla hygieniatarvikkeiden tai riittävän ruoan saamisessa. </w:t>
      </w:r>
      <w:r w:rsidR="00F80E1F">
        <w:t>Myös se, että</w:t>
      </w:r>
      <w:r w:rsidR="00796430">
        <w:t xml:space="preserve"> vankien</w:t>
      </w:r>
      <w:r w:rsidR="00F80E1F">
        <w:t xml:space="preserve"> perheiden lähettämiä alusvaatteita, sukkia, pyyhkeitä, vuodevaatteita jne. ei hyväksytä, vaan vaaditaan niiden hankkimista kanttiinista, on</w:t>
      </w:r>
      <w:r w:rsidR="00636B3D">
        <w:t xml:space="preserve"> </w:t>
      </w:r>
      <w:proofErr w:type="spellStart"/>
      <w:r w:rsidR="00636B3D">
        <w:t>IHD:n</w:t>
      </w:r>
      <w:proofErr w:type="spellEnd"/>
      <w:r w:rsidR="00636B3D">
        <w:t xml:space="preserve"> mukaan</w:t>
      </w:r>
      <w:r w:rsidR="00F80E1F">
        <w:t xml:space="preserve"> taloudelliselta kannalta katsottuna rikkomus. Erityisesti yksinäisten, köyhien perheiden ja ulkomaalaisten vankien tukemiseksi lähetettyjen vähäisten rahamäärien tutkiminen sekä rahan lähettäjien </w:t>
      </w:r>
      <w:r w:rsidR="00796430">
        <w:t xml:space="preserve">mahdollinen </w:t>
      </w:r>
      <w:r w:rsidR="00F80E1F">
        <w:t>pidättäminen ja vangitseminen lisäävät</w:t>
      </w:r>
      <w:r w:rsidR="006F7401">
        <w:t xml:space="preserve"> </w:t>
      </w:r>
      <w:r w:rsidR="00F80E1F">
        <w:t>köyhyyttä entisestään.</w:t>
      </w:r>
      <w:r>
        <w:rPr>
          <w:rStyle w:val="FootnoteReference"/>
        </w:rPr>
        <w:footnoteReference w:id="55"/>
      </w:r>
    </w:p>
    <w:p w14:paraId="20B15116" w14:textId="0D26D86C" w:rsidR="005C3A07" w:rsidRDefault="005C3A07" w:rsidP="005C3A07">
      <w:pPr>
        <w:pStyle w:val="Heading2"/>
      </w:pPr>
      <w:r>
        <w:lastRenderedPageBreak/>
        <w:t>Vankeihin kohdistetut oikeudenloukkaukset</w:t>
      </w:r>
    </w:p>
    <w:p w14:paraId="51180625" w14:textId="40865517" w:rsidR="003074F6" w:rsidRDefault="00796430" w:rsidP="00396B25">
      <w:proofErr w:type="spellStart"/>
      <w:r>
        <w:t>OMCT:n</w:t>
      </w:r>
      <w:proofErr w:type="spellEnd"/>
      <w:r w:rsidR="005C3A07">
        <w:t xml:space="preserve"> 6.3.2026</w:t>
      </w:r>
      <w:r>
        <w:t xml:space="preserve"> julkaisemassa </w:t>
      </w:r>
      <w:r w:rsidR="005C3A07">
        <w:t>Turkkia käsittelevän raportissa</w:t>
      </w:r>
      <w:r>
        <w:t xml:space="preserve"> arvioidaan riskiä joutua kidutuksen kohteeksi Turkin vankiloissa.</w:t>
      </w:r>
      <w:r w:rsidR="005C3A07">
        <w:t xml:space="preserve"> Turkki luokitellaan ”korkean riskin” maaksi perustuen järjestön vuosina 2023 ja 2024 keräämään aineistoon.</w:t>
      </w:r>
      <w:r w:rsidR="005C3A07" w:rsidRPr="00860714">
        <w:t xml:space="preserve"> </w:t>
      </w:r>
      <w:r w:rsidR="005C3A07">
        <w:t xml:space="preserve">Vaikka Turkki on perustanut kidutuksen seurantaa ja ehkäisyä varten mekanismeja, kuten kansallisen ihmisoikeus- ja tasa-arvoinstituutin, </w:t>
      </w:r>
      <w:r>
        <w:t>OMCT kyseenalaistaa niiden tehokkuuden ja riippumattomuuden</w:t>
      </w:r>
      <w:r w:rsidR="005C3A07">
        <w:t>. Tilanne heijastaa laajempia haasteita Turkin ihmisoikeusjärjestelmässä, jossa lainsäädännölliset takeet eivät useinkaan näy tehokkaana suojeluna käytännössä.</w:t>
      </w:r>
      <w:r w:rsidR="005C3A07">
        <w:rPr>
          <w:rStyle w:val="FootnoteReference"/>
        </w:rPr>
        <w:footnoteReference w:id="56"/>
      </w:r>
      <w:r w:rsidR="005C3A07">
        <w:t xml:space="preserve"> </w:t>
      </w:r>
      <w:r w:rsidR="00AF51F3">
        <w:t xml:space="preserve">Väitteet kidutuksesta ja huonosta kohtelusta pidätyskeskuksissa, mukaan lukien vakavat väärinkäytökset kuten seksuaalinen väkivalta ja sähköiskujen käyttö, ovat </w:t>
      </w:r>
      <w:r>
        <w:t xml:space="preserve">järjestön mukaan </w:t>
      </w:r>
      <w:r w:rsidR="00AF51F3">
        <w:t>tiettävästi lisääntyneet voimakkaasti vuoden 2016 vallankaappausyrityksen jälkeen ja terrorismin torjuntaoperaatioiden aikana.</w:t>
      </w:r>
      <w:r w:rsidR="00AF51F3">
        <w:rPr>
          <w:rStyle w:val="FootnoteReference"/>
        </w:rPr>
        <w:footnoteReference w:id="57"/>
      </w:r>
      <w:r w:rsidR="0044662A">
        <w:t xml:space="preserve"> </w:t>
      </w:r>
    </w:p>
    <w:p w14:paraId="1368E973" w14:textId="3ECFB254" w:rsidR="00396B25" w:rsidRDefault="00796430" w:rsidP="0055574C">
      <w:proofErr w:type="spellStart"/>
      <w:r>
        <w:t>TIHV:n</w:t>
      </w:r>
      <w:proofErr w:type="spellEnd"/>
      <w:r>
        <w:t xml:space="preserve"> </w:t>
      </w:r>
      <w:r w:rsidR="0046269D">
        <w:t xml:space="preserve">kidutusta Turkissa vuonna 2024 käsittelevän vuosiraportin mukaan se sai </w:t>
      </w:r>
      <w:r>
        <w:t xml:space="preserve">kidutusta ja kaltoinkohtelua koskevia </w:t>
      </w:r>
      <w:r w:rsidR="006F7401">
        <w:t>valituksia</w:t>
      </w:r>
      <w:r w:rsidR="0046269D">
        <w:t xml:space="preserve"> eniten 5</w:t>
      </w:r>
      <w:r w:rsidR="0046269D" w:rsidRPr="0046269D">
        <w:t>–</w:t>
      </w:r>
      <w:r w:rsidR="0046269D">
        <w:t xml:space="preserve">10 vuotta vankiloissa olleilta vangeilta vuonna 2024 (yhteensä 109 </w:t>
      </w:r>
      <w:r w:rsidR="006F7401">
        <w:t>valitusta</w:t>
      </w:r>
      <w:r w:rsidR="0046269D">
        <w:t xml:space="preserve">), mutta </w:t>
      </w:r>
      <w:r w:rsidR="006F7401">
        <w:t>valituksia</w:t>
      </w:r>
      <w:r w:rsidR="0046269D">
        <w:t xml:space="preserve"> tuli myös merkittävä määrä vähemmän aikaa vankiloissa olleilta henkilöiltä.</w:t>
      </w:r>
      <w:r w:rsidR="0046269D">
        <w:rPr>
          <w:rStyle w:val="FootnoteReference"/>
        </w:rPr>
        <w:footnoteReference w:id="58"/>
      </w:r>
      <w:r w:rsidR="0046269D">
        <w:t xml:space="preserve"> </w:t>
      </w:r>
      <w:r w:rsidR="000471FC" w:rsidRPr="000471FC">
        <w:t xml:space="preserve">435:stä vankilakokemusta sisältävästä </w:t>
      </w:r>
      <w:r w:rsidR="006F7401">
        <w:t>valituksesta</w:t>
      </w:r>
      <w:r w:rsidR="000471FC" w:rsidRPr="000471FC">
        <w:t xml:space="preserve"> 398:ssa (91,5 %) ilmoitettiin, että hakija oli ollut pidätettynä korkean turvaluokituksen vankiloissa</w:t>
      </w:r>
      <w:r w:rsidR="000471FC">
        <w:t>.</w:t>
      </w:r>
      <w:r w:rsidR="000471FC">
        <w:rPr>
          <w:rStyle w:val="FootnoteReference"/>
        </w:rPr>
        <w:footnoteReference w:id="59"/>
      </w:r>
      <w:r w:rsidR="00613ADA">
        <w:t xml:space="preserve"> Raportin mukaan </w:t>
      </w:r>
      <w:r w:rsidR="0055574C">
        <w:t>vankilassaoloajan pidentyessä ihmisoikeusrikkomusten määrä kasvaa suhteellisesti. Niissä valituksissa, joissa vankilassaoloaika on alle vuoden, kertomuksissa mainittujen rikkomusten keskimääräinen osuus on 9,4, % kun taas yli 20 vuotta vankilassa olleiden kohdalla se nousee 16,4 %:iin.</w:t>
      </w:r>
      <w:r w:rsidR="0055574C">
        <w:rPr>
          <w:rStyle w:val="FootnoteReference"/>
        </w:rPr>
        <w:footnoteReference w:id="60"/>
      </w:r>
    </w:p>
    <w:p w14:paraId="40F90813" w14:textId="76B66A14" w:rsidR="00023926" w:rsidRDefault="00023926" w:rsidP="00023926">
      <w:pPr>
        <w:tabs>
          <w:tab w:val="left" w:pos="2552"/>
        </w:tabs>
      </w:pPr>
      <w:proofErr w:type="spellStart"/>
      <w:r w:rsidRPr="00E9529F">
        <w:t>Turkey</w:t>
      </w:r>
      <w:proofErr w:type="spellEnd"/>
      <w:r w:rsidRPr="00E9529F">
        <w:t xml:space="preserve"> Rights </w:t>
      </w:r>
      <w:proofErr w:type="spellStart"/>
      <w:r w:rsidRPr="00E9529F">
        <w:t>Monitor</w:t>
      </w:r>
      <w:proofErr w:type="spellEnd"/>
      <w:r w:rsidRPr="00E9529F">
        <w:t xml:space="preserve">-ihmisoikeusjärjestö </w:t>
      </w:r>
      <w:r>
        <w:t xml:space="preserve">on pitänyt yllä tietokantaa Turkin vankiloissa tapahtuneista oikeudenloukkauksista 15.7.2016 jälkeen 25.11.2024 asti. Tietokantaan ollaan kirjattu yhteensä 10 019 oikeudenloukkausta 313 vankilassa. Yhteensä 25 avovankilassa, sekä </w:t>
      </w:r>
      <w:proofErr w:type="gramStart"/>
      <w:r>
        <w:t>vankiloissa</w:t>
      </w:r>
      <w:proofErr w:type="gramEnd"/>
      <w:r>
        <w:t xml:space="preserve"> joissa on avoin ja suljettu osasto, kirjattiin ajanjaksona yhteensä 136 oikeudenloukkausta. Niistä 35 oli terveydenhuoltoon liittyviä oikeudenloukkauksia, 12 kaltoinkohtelua (loukkaus, uhkaus, häirintä, painostus), 9 elämään liittyvää oikeudenloukkausta, 8 pahoinpitelyä, 8 vapautukseen liittyvää oikeudenloukkausta, 7 yhteydenpitoon liittyvää oikeudenloukkausta, 6 alastontarkastusta, 6 eristysselliin liittyvää oikeudenloukkausta, 6 mielivaltaista kuritustoimenpidettä, viisi hygieniaan liittyvää oikeudenloukkausta, viisi kirjallisuuden tai lehtien kieltämistä vangeilta, neljä riittämävään ruokaan liittyvää oikeudenloukkausta, neljä fyysisiin olosuhteisiin liittyvää oikeudenloukkausta, neljä puheluiden estoa, kolme kanttiiniin liittyvää oikeudenloukkausta, kolme vaatetukseen tai muihin keskeisiin tarvikkeisiin liittyvää oikeudenloukkausta, kolme ilmanlämpöön liittyvää oikeudenloukkausta, kolme mielivaltaista vankien siirtoa, kaksi osaston ylikapasiteettiin liittyvää oikeudenloukkausta, yksi ilmanvaihtoon liittyvä oikeudenloukkaus, yksi kylmään tai lämpimään veteen liittyvä rajoitus ja yksi valitusoikeuteen tai asiakirjojen saatavuuteen liittyvä oikeudenloukkaus.</w:t>
      </w:r>
      <w:r>
        <w:rPr>
          <w:rStyle w:val="FootnoteReference"/>
        </w:rPr>
        <w:footnoteReference w:id="61"/>
      </w:r>
      <w:r>
        <w:t xml:space="preserve">  </w:t>
      </w:r>
    </w:p>
    <w:p w14:paraId="571ABD9D" w14:textId="2914C945" w:rsidR="003074F6" w:rsidRDefault="003074F6" w:rsidP="0055574C">
      <w:proofErr w:type="spellStart"/>
      <w:r w:rsidRPr="00430442">
        <w:t>TIHV:n</w:t>
      </w:r>
      <w:proofErr w:type="spellEnd"/>
      <w:r>
        <w:t xml:space="preserve"> saamien</w:t>
      </w:r>
      <w:r w:rsidRPr="00430442">
        <w:t xml:space="preserve"> </w:t>
      </w:r>
      <w:r w:rsidR="006F7401">
        <w:t>valituksien</w:t>
      </w:r>
      <w:r w:rsidRPr="00430442">
        <w:t xml:space="preserve"> perusteella vankilassa koetun kidutuksen ja muun huonon kohtelun yleisimpiä muotoja ovat ”perustarpeiden tyydyttämisen estäminen” sekä ”sosiaalisten oikeuksien loukkaukset”, joihin sisältyvät ”loukkaukset ja uhkailut”, ”elintilaan kohdistuvat puuttumiset” ja ”seksuaalinen kidutus”. ” ja ”sosiaalisten oikeuksien loukkaukset”, joita seurasivat ”loukkaukset ja uhkailut”</w:t>
      </w:r>
      <w:r>
        <w:t xml:space="preserve">, </w:t>
      </w:r>
      <w:r w:rsidRPr="00430442">
        <w:t xml:space="preserve">”asuinympäristöön kohdistuvat puuttumiset”, </w:t>
      </w:r>
      <w:r w:rsidRPr="00430442">
        <w:lastRenderedPageBreak/>
        <w:t>”seksuaalinen kidutus” ja ”fyysiset interventiot”.</w:t>
      </w:r>
      <w:r>
        <w:rPr>
          <w:rStyle w:val="FootnoteReference"/>
        </w:rPr>
        <w:footnoteReference w:id="62"/>
      </w:r>
      <w:r>
        <w:t xml:space="preserve"> Vuonna 2024 se sai yhteensä 155 </w:t>
      </w:r>
      <w:proofErr w:type="gramStart"/>
      <w:r w:rsidR="006F7401">
        <w:t>valitusta</w:t>
      </w:r>
      <w:proofErr w:type="gramEnd"/>
      <w:r w:rsidR="006F7401">
        <w:t xml:space="preserve"> </w:t>
      </w:r>
      <w:r>
        <w:t xml:space="preserve">joihin liittyi pahoinpitely tai muut fyysinen väkivalta, 43 </w:t>
      </w:r>
      <w:r w:rsidR="006F7401">
        <w:t>valitusta</w:t>
      </w:r>
      <w:r>
        <w:t xml:space="preserve"> joihin liittyi sitominen, viiteen liittyi jalkojen lyöminen ja viiteen karvojen repiminen. 53</w:t>
      </w:r>
      <w:r w:rsidR="001009E8">
        <w:t xml:space="preserve"> valitusta</w:t>
      </w:r>
      <w:r>
        <w:t xml:space="preserve"> liittyi pakkoasennot</w:t>
      </w:r>
      <w:r>
        <w:rPr>
          <w:rStyle w:val="FootnoteReference"/>
        </w:rPr>
        <w:footnoteReference w:id="63"/>
      </w:r>
      <w:r>
        <w:t xml:space="preserve"> ja 441 hakemukseen liittyi seksuaaliseen väkivalta.</w:t>
      </w:r>
      <w:r>
        <w:rPr>
          <w:rStyle w:val="FootnoteReference"/>
        </w:rPr>
        <w:footnoteReference w:id="64"/>
      </w:r>
      <w:r>
        <w:t xml:space="preserve"> TIHV </w:t>
      </w:r>
      <w:proofErr w:type="gramStart"/>
      <w:r>
        <w:t>katsoo</w:t>
      </w:r>
      <w:proofErr w:type="gramEnd"/>
      <w:r>
        <w:t xml:space="preserve"> että oikeudenloukkausten määrä on noussut viime vuosina.</w:t>
      </w:r>
      <w:r>
        <w:rPr>
          <w:rStyle w:val="FootnoteReference"/>
        </w:rPr>
        <w:footnoteReference w:id="65"/>
      </w:r>
    </w:p>
    <w:p w14:paraId="4B90B9A9" w14:textId="1D7A1457" w:rsidR="005C3A07" w:rsidRDefault="00FA3476" w:rsidP="00E26A76">
      <w:proofErr w:type="spellStart"/>
      <w:r>
        <w:t>IHD:n</w:t>
      </w:r>
      <w:proofErr w:type="spellEnd"/>
      <w:r w:rsidR="002C43C7">
        <w:t xml:space="preserve"> Turkissa tapahtuneita oikeudenloukkauksia vuonna 2024 kuvaavan vuosiraportin mukaan </w:t>
      </w:r>
      <w:proofErr w:type="spellStart"/>
      <w:r w:rsidR="002C43C7">
        <w:t>IHD:n</w:t>
      </w:r>
      <w:proofErr w:type="spellEnd"/>
      <w:r w:rsidR="002C43C7">
        <w:t xml:space="preserve"> dokumentointiyksikkö havaitsi vuonna 2024 vankiloissa 223 tapausta, joissa oli kyse kidutuksesta </w:t>
      </w:r>
      <w:r w:rsidR="00796430">
        <w:t>tai muusta kaltoin</w:t>
      </w:r>
      <w:r w:rsidR="002C43C7">
        <w:t>kohtelusta. Näistä tapauksista kärsi suoraan vähintään 660 vankia</w:t>
      </w:r>
      <w:r w:rsidR="0046269D">
        <w:t>. L</w:t>
      </w:r>
      <w:r w:rsidR="002C43C7">
        <w:t xml:space="preserve">isäksi </w:t>
      </w:r>
      <w:r w:rsidR="0046269D">
        <w:t xml:space="preserve">raportissa </w:t>
      </w:r>
      <w:r w:rsidR="002C43C7">
        <w:t>todettiin, että vähintään 1176 henkilöä sai myrkytyksen vankilassa tarjoillun ruoan vuoksi.</w:t>
      </w:r>
      <w:r w:rsidR="00E26A76">
        <w:rPr>
          <w:rStyle w:val="FootnoteReference"/>
        </w:rPr>
        <w:footnoteReference w:id="66"/>
      </w:r>
      <w:r w:rsidR="00E26A76">
        <w:t xml:space="preserve"> </w:t>
      </w:r>
      <w:proofErr w:type="spellStart"/>
      <w:r w:rsidR="00E26A76">
        <w:t>IHD:n</w:t>
      </w:r>
      <w:proofErr w:type="spellEnd"/>
      <w:r w:rsidR="00E26A76">
        <w:t xml:space="preserve"> Turkin vankiloissa tapahtuneita oikeudenloukkauksia vuonna 2024 kuvaavan raportin mukaan kidutuksen uudet muodot ovat yhä monimuotoisempia ja yleistyvät, </w:t>
      </w:r>
      <w:r w:rsidR="00796430">
        <w:t>mutta kidutuksen</w:t>
      </w:r>
      <w:r w:rsidR="00E26A76">
        <w:t xml:space="preserve"> luonne ei ole muuttunut: sitä harjoitetaan edelleen ihmisarvoa ja henkilön koskemattomuutta ja arvokkuutta loukkaavina tekoina. Jopa poikkeukselliset käytännöt, kuten alastontarkastu</w:t>
      </w:r>
      <w:r w:rsidR="00E13B17">
        <w:t>kset</w:t>
      </w:r>
      <w:r w:rsidR="00E26A76">
        <w:t>, jonka soveltaminen on lainsäädännössä sallittu vain hyvin erityisissä olosuhteissa, ovat yleistyneet viime vuosina lainsäädännön säännöksiä perusteena käyttäen.</w:t>
      </w:r>
      <w:r w:rsidR="00E26A76">
        <w:rPr>
          <w:rStyle w:val="FootnoteReference"/>
        </w:rPr>
        <w:footnoteReference w:id="67"/>
      </w:r>
      <w:r w:rsidR="007C26AF">
        <w:t xml:space="preserve"> </w:t>
      </w:r>
    </w:p>
    <w:p w14:paraId="7973D903" w14:textId="77777777" w:rsidR="001009E8" w:rsidRDefault="007C26AF" w:rsidP="00E26A76">
      <w:r>
        <w:t>IHD kertoo saaneensa tietoonsa</w:t>
      </w:r>
      <w:r w:rsidR="007B284A">
        <w:t xml:space="preserve"> vuonna 2024 yhteensä 590 kidutus- ja kaltoinkohtelutapausta. Näistä</w:t>
      </w:r>
      <w:r>
        <w:t xml:space="preserve"> </w:t>
      </w:r>
    </w:p>
    <w:p w14:paraId="5868C739" w14:textId="1BC5000C" w:rsidR="001009E8" w:rsidRDefault="007C26AF" w:rsidP="001009E8">
      <w:pPr>
        <w:pStyle w:val="ListParagraph"/>
        <w:numPr>
          <w:ilvl w:val="0"/>
          <w:numId w:val="34"/>
        </w:numPr>
      </w:pPr>
      <w:r>
        <w:t xml:space="preserve">77 </w:t>
      </w:r>
      <w:r w:rsidR="007B284A">
        <w:t xml:space="preserve">oli </w:t>
      </w:r>
      <w:r>
        <w:t>pahoinpitely</w:t>
      </w:r>
      <w:r w:rsidR="00E13B17">
        <w:t>ä</w:t>
      </w:r>
      <w:r>
        <w:t>, joissa tekijänä o</w:t>
      </w:r>
      <w:r w:rsidR="00E13B17">
        <w:t>livat</w:t>
      </w:r>
      <w:r>
        <w:t xml:space="preserve"> vanginvartijat, yhden </w:t>
      </w:r>
      <w:proofErr w:type="gramStart"/>
      <w:r>
        <w:t>pahoinpitelytapauksen</w:t>
      </w:r>
      <w:proofErr w:type="gramEnd"/>
      <w:r>
        <w:t xml:space="preserve"> joka tapahtui vankien toimesta, kaksi pahoinpitelytapausta jotka tapahtuivat vanginvartijoiden tai lainvalvontaviranomaisten toimesta</w:t>
      </w:r>
      <w:r w:rsidR="001009E8">
        <w:t>.</w:t>
      </w:r>
    </w:p>
    <w:p w14:paraId="1E139E77" w14:textId="77777777" w:rsidR="001009E8" w:rsidRDefault="001009E8" w:rsidP="001009E8">
      <w:pPr>
        <w:pStyle w:val="ListParagraph"/>
        <w:numPr>
          <w:ilvl w:val="0"/>
          <w:numId w:val="34"/>
        </w:numPr>
      </w:pPr>
      <w:r>
        <w:t>N</w:t>
      </w:r>
      <w:r w:rsidR="00414510">
        <w:t>eljä</w:t>
      </w:r>
      <w:r w:rsidR="007C26AF">
        <w:t xml:space="preserve"> </w:t>
      </w:r>
      <w:proofErr w:type="gramStart"/>
      <w:r w:rsidR="007C26AF">
        <w:t>tapausta</w:t>
      </w:r>
      <w:proofErr w:type="gramEnd"/>
      <w:r w:rsidR="007C26AF">
        <w:t xml:space="preserve"> joissa uhrin saaduista vammoista ei laadittu lääkärintodistusta</w:t>
      </w:r>
      <w:r>
        <w:t xml:space="preserve">. </w:t>
      </w:r>
    </w:p>
    <w:p w14:paraId="7D3970D9" w14:textId="77777777" w:rsidR="001009E8" w:rsidRDefault="001009E8" w:rsidP="001009E8">
      <w:pPr>
        <w:pStyle w:val="ListParagraph"/>
        <w:numPr>
          <w:ilvl w:val="0"/>
          <w:numId w:val="34"/>
        </w:numPr>
      </w:pPr>
      <w:r>
        <w:t>Y</w:t>
      </w:r>
      <w:r w:rsidR="00F059E9">
        <w:t>hden</w:t>
      </w:r>
      <w:r w:rsidR="007C26AF">
        <w:t xml:space="preserve"> </w:t>
      </w:r>
      <w:proofErr w:type="gramStart"/>
      <w:r w:rsidR="007C26AF">
        <w:t>tapauksen</w:t>
      </w:r>
      <w:proofErr w:type="gramEnd"/>
      <w:r w:rsidR="007C26AF">
        <w:t xml:space="preserve"> jossa vanginvartijat estivät lääkärintodistuksen laatimisen tapauksesta</w:t>
      </w:r>
      <w:r>
        <w:t>.</w:t>
      </w:r>
      <w:r w:rsidR="007C26AF">
        <w:t xml:space="preserve"> </w:t>
      </w:r>
    </w:p>
    <w:p w14:paraId="7D1CF76A" w14:textId="77777777" w:rsidR="001009E8" w:rsidRDefault="007C26AF" w:rsidP="001009E8">
      <w:pPr>
        <w:pStyle w:val="ListParagraph"/>
        <w:numPr>
          <w:ilvl w:val="0"/>
          <w:numId w:val="34"/>
        </w:numPr>
      </w:pPr>
      <w:r>
        <w:t>13 psykologisen painostuksen tai väkivallan tapausta</w:t>
      </w:r>
      <w:r w:rsidR="001009E8">
        <w:t>.</w:t>
      </w:r>
      <w:r w:rsidR="00F059E9">
        <w:t xml:space="preserve"> </w:t>
      </w:r>
    </w:p>
    <w:p w14:paraId="5C0D211F" w14:textId="77777777" w:rsidR="001009E8" w:rsidRDefault="00F059E9" w:rsidP="001009E8">
      <w:pPr>
        <w:pStyle w:val="ListParagraph"/>
        <w:numPr>
          <w:ilvl w:val="0"/>
          <w:numId w:val="34"/>
        </w:numPr>
      </w:pPr>
      <w:r>
        <w:t>150 lainvalvontaviranomaisten taholta tehtyä uhkailutapausta</w:t>
      </w:r>
      <w:r w:rsidR="001009E8">
        <w:t>.</w:t>
      </w:r>
    </w:p>
    <w:p w14:paraId="65F01BBE" w14:textId="77777777" w:rsidR="001009E8" w:rsidRDefault="00F059E9" w:rsidP="001009E8">
      <w:pPr>
        <w:pStyle w:val="ListParagraph"/>
        <w:numPr>
          <w:ilvl w:val="0"/>
          <w:numId w:val="34"/>
        </w:numPr>
      </w:pPr>
      <w:r>
        <w:t>8 muiden vankien taholta tehtyä uhkailutapausta</w:t>
      </w:r>
      <w:r w:rsidR="001009E8">
        <w:t>.</w:t>
      </w:r>
      <w:r>
        <w:t xml:space="preserve"> </w:t>
      </w:r>
    </w:p>
    <w:p w14:paraId="04EA964D" w14:textId="77777777" w:rsidR="001009E8" w:rsidRDefault="00F059E9" w:rsidP="001009E8">
      <w:pPr>
        <w:pStyle w:val="ListParagraph"/>
        <w:numPr>
          <w:ilvl w:val="0"/>
          <w:numId w:val="34"/>
        </w:numPr>
      </w:pPr>
      <w:r>
        <w:t>91 vankiloiden henkilöstön tai lainvalvontaviranomaisten tekemää henkilökohtaista loukkausta</w:t>
      </w:r>
      <w:r w:rsidR="001009E8">
        <w:t>.</w:t>
      </w:r>
      <w:r>
        <w:t xml:space="preserve"> </w:t>
      </w:r>
    </w:p>
    <w:p w14:paraId="7A7DEACD" w14:textId="77777777" w:rsidR="001009E8" w:rsidRDefault="001009E8" w:rsidP="001009E8">
      <w:pPr>
        <w:pStyle w:val="ListParagraph"/>
        <w:numPr>
          <w:ilvl w:val="0"/>
          <w:numId w:val="34"/>
        </w:numPr>
      </w:pPr>
      <w:r>
        <w:t>Y</w:t>
      </w:r>
      <w:r w:rsidR="00F059E9">
        <w:t>ksi muiden vankien taholta tehty loukkaus</w:t>
      </w:r>
      <w:r>
        <w:t xml:space="preserve">. </w:t>
      </w:r>
    </w:p>
    <w:p w14:paraId="13DAA802" w14:textId="77777777" w:rsidR="001009E8" w:rsidRDefault="00F059E9" w:rsidP="001009E8">
      <w:pPr>
        <w:pStyle w:val="ListParagraph"/>
        <w:numPr>
          <w:ilvl w:val="0"/>
          <w:numId w:val="34"/>
        </w:numPr>
      </w:pPr>
      <w:r>
        <w:t xml:space="preserve">280 </w:t>
      </w:r>
      <w:proofErr w:type="gramStart"/>
      <w:r>
        <w:t>tapausta</w:t>
      </w:r>
      <w:proofErr w:type="gramEnd"/>
      <w:r>
        <w:t xml:space="preserve"> joissa vankilahenkilöstö on käyttäytynyt provosoivasti vankeja kohtaan</w:t>
      </w:r>
      <w:r w:rsidR="001009E8">
        <w:t>.</w:t>
      </w:r>
      <w:r>
        <w:t xml:space="preserve"> </w:t>
      </w:r>
    </w:p>
    <w:p w14:paraId="4182F668" w14:textId="77777777" w:rsidR="0086475E" w:rsidRDefault="001009E8" w:rsidP="001009E8">
      <w:pPr>
        <w:pStyle w:val="ListParagraph"/>
        <w:numPr>
          <w:ilvl w:val="0"/>
          <w:numId w:val="34"/>
        </w:numPr>
      </w:pPr>
      <w:r>
        <w:t>K</w:t>
      </w:r>
      <w:r w:rsidR="00F059E9">
        <w:t xml:space="preserve">aksi </w:t>
      </w:r>
      <w:proofErr w:type="gramStart"/>
      <w:r w:rsidR="00F059E9">
        <w:t>tapausta</w:t>
      </w:r>
      <w:proofErr w:type="gramEnd"/>
      <w:r w:rsidR="00F059E9">
        <w:t xml:space="preserve"> joissa riidoissa olevia vankeja on pidetty samoissa tiloissa</w:t>
      </w:r>
      <w:r w:rsidR="0086475E">
        <w:t>.</w:t>
      </w:r>
    </w:p>
    <w:p w14:paraId="72224976" w14:textId="77777777" w:rsidR="0086475E" w:rsidRDefault="00F059E9" w:rsidP="001009E8">
      <w:pPr>
        <w:pStyle w:val="ListParagraph"/>
        <w:numPr>
          <w:ilvl w:val="0"/>
          <w:numId w:val="34"/>
        </w:numPr>
      </w:pPr>
      <w:r>
        <w:t xml:space="preserve">32 </w:t>
      </w:r>
      <w:proofErr w:type="gramStart"/>
      <w:r>
        <w:t>tapausta</w:t>
      </w:r>
      <w:proofErr w:type="gramEnd"/>
      <w:r>
        <w:t xml:space="preserve"> joissa poliittisista syistä vangittuja on estetty tervehtimästä toisiaan</w:t>
      </w:r>
      <w:r w:rsidR="0086475E">
        <w:t xml:space="preserve">. </w:t>
      </w:r>
    </w:p>
    <w:p w14:paraId="2763E37F" w14:textId="77777777" w:rsidR="0086475E" w:rsidRDefault="0086475E" w:rsidP="001009E8">
      <w:pPr>
        <w:pStyle w:val="ListParagraph"/>
        <w:numPr>
          <w:ilvl w:val="0"/>
          <w:numId w:val="34"/>
        </w:numPr>
      </w:pPr>
      <w:r>
        <w:t>Y</w:t>
      </w:r>
      <w:r w:rsidR="00F059E9">
        <w:t xml:space="preserve">ksi </w:t>
      </w:r>
      <w:proofErr w:type="gramStart"/>
      <w:r w:rsidR="00F059E9">
        <w:t>tapaus</w:t>
      </w:r>
      <w:proofErr w:type="gramEnd"/>
      <w:r w:rsidR="00F059E9">
        <w:t xml:space="preserve"> jossa vankia ollaan kuljetettu alastomana ja silmät sidottuina</w:t>
      </w:r>
      <w:r>
        <w:t>.</w:t>
      </w:r>
      <w:r w:rsidR="00F059E9">
        <w:t xml:space="preserve"> </w:t>
      </w:r>
    </w:p>
    <w:p w14:paraId="082F298A" w14:textId="77777777" w:rsidR="0086475E" w:rsidRDefault="0086475E" w:rsidP="001009E8">
      <w:pPr>
        <w:pStyle w:val="ListParagraph"/>
        <w:numPr>
          <w:ilvl w:val="0"/>
          <w:numId w:val="34"/>
        </w:numPr>
      </w:pPr>
      <w:r>
        <w:t>Y</w:t>
      </w:r>
      <w:r w:rsidR="00F059E9">
        <w:t xml:space="preserve">ksi </w:t>
      </w:r>
      <w:proofErr w:type="gramStart"/>
      <w:r w:rsidR="00F059E9">
        <w:t>tapaus</w:t>
      </w:r>
      <w:proofErr w:type="gramEnd"/>
      <w:r w:rsidR="00F059E9">
        <w:t xml:space="preserve"> jossa vangille ei olla annettu ruokaa tai vettä hänen saavuttuaan vankilaan </w:t>
      </w:r>
    </w:p>
    <w:p w14:paraId="109FC6BB" w14:textId="46997520" w:rsidR="00E26A76" w:rsidRDefault="0086475E" w:rsidP="001009E8">
      <w:pPr>
        <w:pStyle w:val="ListParagraph"/>
        <w:numPr>
          <w:ilvl w:val="0"/>
          <w:numId w:val="34"/>
        </w:numPr>
      </w:pPr>
      <w:r>
        <w:t>Yksi tapaus,</w:t>
      </w:r>
      <w:r w:rsidR="00F059E9">
        <w:t xml:space="preserve"> jossa poliittisista syistä vangittua naista pidettiin samassa tilassa miesten kanssa.</w:t>
      </w:r>
      <w:r w:rsidR="00F059E9">
        <w:rPr>
          <w:rStyle w:val="FootnoteReference"/>
        </w:rPr>
        <w:footnoteReference w:id="68"/>
      </w:r>
    </w:p>
    <w:p w14:paraId="052A37AC" w14:textId="581B4005" w:rsidR="00552E06" w:rsidRDefault="00552E06" w:rsidP="00E03874">
      <w:r>
        <w:t>IHD raportoi vuonna 2024 saaneensa tietoonsa yhteensä 898 ihmisarvoa loukkaavista tarkastuksesta.</w:t>
      </w:r>
      <w:r>
        <w:rPr>
          <w:rStyle w:val="FootnoteReference"/>
        </w:rPr>
        <w:footnoteReference w:id="69"/>
      </w:r>
      <w:r>
        <w:t xml:space="preserve"> Lisäksi se raportoi yhteensä 207 </w:t>
      </w:r>
      <w:proofErr w:type="gramStart"/>
      <w:r>
        <w:t>oikeudenloukkauksesta</w:t>
      </w:r>
      <w:proofErr w:type="gramEnd"/>
      <w:r>
        <w:t xml:space="preserve"> jotka liittyivät </w:t>
      </w:r>
      <w:r w:rsidR="00E13B17">
        <w:t>pakkoasentoihin</w:t>
      </w:r>
      <w:r>
        <w:t xml:space="preserve"> tai henkilöllisyyden todistamisiin. Näihin liittyi tilanteita, joissa vankeja pidet</w:t>
      </w:r>
      <w:r w:rsidR="00E13B17">
        <w:t xml:space="preserve">tiin </w:t>
      </w:r>
      <w:r>
        <w:t>asennossa</w:t>
      </w:r>
      <w:r w:rsidR="00E13B17">
        <w:t xml:space="preserve"> yhdessä rivissä vankien laskua varten</w:t>
      </w:r>
      <w:r>
        <w:t>. Jopa vankeja, joiden tiede</w:t>
      </w:r>
      <w:r w:rsidR="00E13B17">
        <w:t xml:space="preserve">ttiin </w:t>
      </w:r>
      <w:r>
        <w:t>olevan sairaita</w:t>
      </w:r>
      <w:r w:rsidR="007B284A">
        <w:t xml:space="preserve"> </w:t>
      </w:r>
      <w:r>
        <w:lastRenderedPageBreak/>
        <w:t>tai joilla on fyysisiä vaikeuksia nousta seisomaan tai pysyä pystyssä, pakote</w:t>
      </w:r>
      <w:r w:rsidR="00E13B17">
        <w:t>ttiin</w:t>
      </w:r>
      <w:r>
        <w:t xml:space="preserve"> seisomaan laskennan aikana. Painostuskeinona laskenta suoritetaan joissakin vankiloissa myös öisin.</w:t>
      </w:r>
      <w:r w:rsidR="00E03874">
        <w:t xml:space="preserve"> Puhelinkeskustelujen aikana vaadi</w:t>
      </w:r>
      <w:r w:rsidR="00E13B17">
        <w:t>ttiin</w:t>
      </w:r>
      <w:r w:rsidR="00E03874">
        <w:t xml:space="preserve"> henkilötietojen ilmoittamista. Tässä käytännössä sekä vangin että hänen keskustelukumppaninsa on ilmoitettava henkilöllisyytensä (nimen ja sukunimen), ja jos tätä ei te</w:t>
      </w:r>
      <w:r w:rsidR="00446748">
        <w:t>hty</w:t>
      </w:r>
      <w:r w:rsidR="00E03874">
        <w:t>, puhelinkeskustelut katkaist</w:t>
      </w:r>
      <w:r w:rsidR="00446748">
        <w:t>iin</w:t>
      </w:r>
      <w:r w:rsidR="00E03874">
        <w:t>.</w:t>
      </w:r>
      <w:r w:rsidR="00BC250D">
        <w:t xml:space="preserve"> </w:t>
      </w:r>
      <w:r w:rsidR="00E03874">
        <w:t>Joissakin vankiloissa vankeja velvoitet</w:t>
      </w:r>
      <w:r w:rsidR="00446748">
        <w:t>tii</w:t>
      </w:r>
      <w:r w:rsidR="00E03874">
        <w:t>n käyttämään henkilökorttia, ja</w:t>
      </w:r>
      <w:r w:rsidR="00446748">
        <w:t xml:space="preserve"> niitä </w:t>
      </w:r>
      <w:proofErr w:type="gramStart"/>
      <w:r w:rsidR="00446748">
        <w:t>vastaan</w:t>
      </w:r>
      <w:proofErr w:type="gramEnd"/>
      <w:r w:rsidR="00E03874">
        <w:t xml:space="preserve"> jotka kieltäytyvät siitä, </w:t>
      </w:r>
      <w:r w:rsidR="00446748">
        <w:t>aloitettiin</w:t>
      </w:r>
      <w:r w:rsidR="00E03874">
        <w:t xml:space="preserve"> kurinpitomenettely. </w:t>
      </w:r>
      <w:proofErr w:type="spellStart"/>
      <w:r w:rsidR="00E13B17">
        <w:t>IHD:n</w:t>
      </w:r>
      <w:proofErr w:type="spellEnd"/>
      <w:r w:rsidR="00E13B17">
        <w:t xml:space="preserve"> saamien</w:t>
      </w:r>
      <w:r w:rsidR="00E03874">
        <w:t xml:space="preserve"> valitusten mukaan vankien kuljetusten (sairaala, vankila, tuomioistuin jne.) aikana sekä puhelinkeskusteluihin että avoimiin tai suljettuihin tapaamisiin men</w:t>
      </w:r>
      <w:r w:rsidR="00E13B17">
        <w:t>täessä</w:t>
      </w:r>
      <w:r w:rsidR="00E03874">
        <w:t xml:space="preserve"> heitä vaaditaan kulkemaan seinän vieressä sotilaskäskyn mukaisesti. Näitä käytäntöjä vastustav</w:t>
      </w:r>
      <w:r w:rsidR="00E13B17">
        <w:t xml:space="preserve">ia vankeja </w:t>
      </w:r>
      <w:r w:rsidR="00E03874">
        <w:t>uh</w:t>
      </w:r>
      <w:r w:rsidR="00E13B17">
        <w:t>kailtiin</w:t>
      </w:r>
      <w:r w:rsidR="00E03874">
        <w:t xml:space="preserve"> ja altis</w:t>
      </w:r>
      <w:r w:rsidR="00E13B17">
        <w:t>tettii</w:t>
      </w:r>
      <w:r w:rsidR="00E03874">
        <w:t>n kidutukselle ja huonolle kohtelulle ja heitä vastaan aloitet</w:t>
      </w:r>
      <w:r w:rsidR="00E13B17">
        <w:t>tiin</w:t>
      </w:r>
      <w:r w:rsidR="00E03874">
        <w:t xml:space="preserve"> kurinpitomenettely. Monissa tapauksissa </w:t>
      </w:r>
      <w:r w:rsidR="00E13B17">
        <w:t xml:space="preserve">vangeille </w:t>
      </w:r>
      <w:r w:rsidR="00E03874">
        <w:t>määrä</w:t>
      </w:r>
      <w:r w:rsidR="00E13B17">
        <w:t xml:space="preserve">ttiin </w:t>
      </w:r>
      <w:r w:rsidR="00E03874">
        <w:t>eristysrangaistuksia ja toimenpiteitä, jo</w:t>
      </w:r>
      <w:r w:rsidR="00E13B17">
        <w:t>ita heidän tuli suorittaa</w:t>
      </w:r>
      <w:r w:rsidR="00E03874">
        <w:t xml:space="preserve"> kyseisen erityisrangaistuksen </w:t>
      </w:r>
      <w:r w:rsidR="00E13B17">
        <w:t>lyhentämiseksi</w:t>
      </w:r>
      <w:r w:rsidR="00E03874">
        <w:t>.</w:t>
      </w:r>
      <w:r>
        <w:rPr>
          <w:rStyle w:val="FootnoteReference"/>
        </w:rPr>
        <w:footnoteReference w:id="70"/>
      </w:r>
      <w:r w:rsidR="00BC250D">
        <w:t xml:space="preserve"> IHD raportoi myös yhteensä 1955 vanginvartijoiden tekemistä yllätystarkastuksiin liittyvistä rikkeistä, kuten tavaroiden hajottamisista</w:t>
      </w:r>
      <w:r w:rsidR="00E13B17">
        <w:t xml:space="preserve"> selleissä tehtyjen</w:t>
      </w:r>
      <w:r w:rsidR="00BC250D">
        <w:t xml:space="preserve"> etsintöjen yhteydessä (684 tapausta).</w:t>
      </w:r>
      <w:r w:rsidR="00BC250D">
        <w:rPr>
          <w:rStyle w:val="FootnoteReference"/>
        </w:rPr>
        <w:footnoteReference w:id="71"/>
      </w:r>
    </w:p>
    <w:p w14:paraId="1C56A684" w14:textId="0FF87C91" w:rsidR="00272EBA" w:rsidRDefault="00272EBA" w:rsidP="007C6119">
      <w:proofErr w:type="spellStart"/>
      <w:r>
        <w:t>IHD:n</w:t>
      </w:r>
      <w:proofErr w:type="spellEnd"/>
      <w:r>
        <w:t xml:space="preserve"> Turkin vankiloissa vuonna 2024 tapahtuneita oikeudenloukkauksia kuvaavan vuosiraportin mukaan </w:t>
      </w:r>
      <w:r w:rsidR="007C6119">
        <w:t>v</w:t>
      </w:r>
      <w:r>
        <w:t xml:space="preserve">ankilahallinto reagoi vankiloissa esitettyihin oikeuksien vaatimuksiin tai oikeudenloukkauksiin laatimalla pöytäkirjoja ja käynnistämällä kurinpitotutkimuksia. Nämä toimet voivat perustua jopa täysin mielivaltaisiin syihin, kuten siihen, että vangit tervehtivät toisiaan tai kyselevät toistensa vointia. Vankilassa koettujen oikeuksien loukkausten ja painostuksen ilmoittaminen ulkopuolelle voi myös olla peruste kurinpitotutkimukselle. </w:t>
      </w:r>
      <w:proofErr w:type="spellStart"/>
      <w:r>
        <w:t>IHD:n</w:t>
      </w:r>
      <w:proofErr w:type="spellEnd"/>
      <w:r>
        <w:t xml:space="preserve"> keräämissä vankien lausunnoissa kerrotaan, että heitä provosoidaan lyömällä tai loukkaamalla sosiaalisten aktiviteettien, sairaalakäyntien, vankilaan saapumisen ja sieltä poistumisen sekä </w:t>
      </w:r>
      <w:r w:rsidR="007C6119">
        <w:t>vankien laskentoj</w:t>
      </w:r>
      <w:r w:rsidR="00446748">
        <w:t>e</w:t>
      </w:r>
      <w:r w:rsidR="007C6119">
        <w:t>n</w:t>
      </w:r>
      <w:r>
        <w:t xml:space="preserve"> ja tarkastusten aikana, toisinaan yleisestä menettelystä poiketen, minkä seurauksena heitä vastaan aloitetaan kurinpitotutkinta. </w:t>
      </w:r>
      <w:proofErr w:type="spellStart"/>
      <w:r w:rsidR="00446748">
        <w:t>IHD:n</w:t>
      </w:r>
      <w:proofErr w:type="spellEnd"/>
      <w:r w:rsidR="00446748">
        <w:t xml:space="preserve"> saamien vankien lausuntojen</w:t>
      </w:r>
      <w:r>
        <w:t xml:space="preserve"> mukaan tutkinta aloitetaan ja sellirangaistus määrätään kaikille, jotka eivät suostu mielivaltaisiin ja sääntöjenvastaisiin toimenpiteisiin.</w:t>
      </w:r>
      <w:r w:rsidR="007C6119">
        <w:t xml:space="preserve"> Näiden kurinpitotutkimusten seurauksena van</w:t>
      </w:r>
      <w:r w:rsidR="00241305">
        <w:t>g</w:t>
      </w:r>
      <w:r w:rsidR="007C6119">
        <w:t xml:space="preserve">eille voidaan määrätä viestintäkieltoja ja eristysrangaistuksia. </w:t>
      </w:r>
      <w:proofErr w:type="spellStart"/>
      <w:r w:rsidR="00184AEF">
        <w:t>IHD:n</w:t>
      </w:r>
      <w:proofErr w:type="spellEnd"/>
      <w:r w:rsidR="00184AEF">
        <w:t xml:space="preserve"> mukaan</w:t>
      </w:r>
      <w:r w:rsidR="007C6119">
        <w:t xml:space="preserve"> tutkimuksia ja rangaistuksia käytetään verukkeena rangaistusten pidentämiseen. Jo nyt rangaistusten täytäntöönpanosta annetun lain mukaisia oikeuksia voidaan soveltaa vankilahallinnon harkinnan mukaan. Vakavasti sairaita ja rangaistuksensa viimeistä vuotta suorittavia vankeja, jopa hyvän käytöksen osoittaneita vankeja ei välttämättä vapauteta kurinpitotoimenpiteiden seurauksena. Kurinpitotutkimusten ja rangaistusten vuoksi vankeja </w:t>
      </w:r>
      <w:r w:rsidR="00184AEF">
        <w:t>ei päästetä</w:t>
      </w:r>
      <w:r w:rsidR="007C6119">
        <w:t xml:space="preserve"> ehdonalaiseen vapauteen hyvän käytöksen perusteella.</w:t>
      </w:r>
      <w:r>
        <w:rPr>
          <w:rStyle w:val="FootnoteReference"/>
        </w:rPr>
        <w:footnoteReference w:id="72"/>
      </w:r>
    </w:p>
    <w:p w14:paraId="4325B638" w14:textId="72B00A76" w:rsidR="00E26A76" w:rsidRDefault="00AC4346" w:rsidP="00E26A76">
      <w:proofErr w:type="spellStart"/>
      <w:r>
        <w:t>IHD:n</w:t>
      </w:r>
      <w:proofErr w:type="spellEnd"/>
      <w:r>
        <w:t xml:space="preserve"> vankilakomission tietojen mukaan vuonna 2024 vankiloissa tapahtui vähintään 20 epäilyttävää kuolemantapausta, joista 13 kirjattiin itsemurhiksi. </w:t>
      </w:r>
      <w:proofErr w:type="spellStart"/>
      <w:r w:rsidR="00C6532D">
        <w:t>IHD:n</w:t>
      </w:r>
      <w:proofErr w:type="spellEnd"/>
      <w:r>
        <w:t xml:space="preserve"> havaintojen mukaan lisäksi yksi vanki menehtyi tulipalossa ja toinen vanki vankilassa sattuneen onnettomuuden seurauksena.</w:t>
      </w:r>
      <w:r w:rsidR="002C43C7">
        <w:rPr>
          <w:rStyle w:val="FootnoteReference"/>
        </w:rPr>
        <w:footnoteReference w:id="73"/>
      </w:r>
      <w:r w:rsidR="00C540F4">
        <w:t xml:space="preserve"> </w:t>
      </w:r>
      <w:proofErr w:type="spellStart"/>
      <w:r w:rsidR="00C6532D">
        <w:t>IHD:n</w:t>
      </w:r>
      <w:proofErr w:type="spellEnd"/>
      <w:r w:rsidR="00C6532D">
        <w:t xml:space="preserve"> vankiloissa tapahtuvia oikeudenloukkauksia vuonna 2024 kuvaavan vuosiraportin mukaan viime vuosina vankiloissa tapahtuneiden itsemurhatapausten lisääntyminen liittyy hyvin läheisesti vankiloissa tapahtuviin oikeudenloukkauksiin. Itsemurhatapausten suuri määrä ja niiden erityinen yleisyys vankien keskuudessa paljastavat näiden </w:t>
      </w:r>
      <w:r w:rsidR="00A50FF4">
        <w:t xml:space="preserve">oikeudenloukkausten </w:t>
      </w:r>
      <w:r w:rsidR="00C6532D">
        <w:t>vakavuuden sekä heidän elinolojensa ihmisarvon vastaisuuden.</w:t>
      </w:r>
      <w:r w:rsidR="00C6532D">
        <w:rPr>
          <w:rStyle w:val="FootnoteReference"/>
        </w:rPr>
        <w:footnoteReference w:id="74"/>
      </w:r>
      <w:r w:rsidR="00E26A76">
        <w:t xml:space="preserve"> </w:t>
      </w:r>
      <w:r w:rsidR="00672699">
        <w:t xml:space="preserve">YK:n kidutuksen vastainen komitea osoittaa 14.8.2024 julkaistussa raportissa huolensa </w:t>
      </w:r>
      <w:r w:rsidR="00184AEF">
        <w:t>sen saamista tiedoista</w:t>
      </w:r>
      <w:r w:rsidR="00672699" w:rsidRPr="00672699">
        <w:t xml:space="preserve">, joiden mukaan pidätysaikana tapahtuneita kuolemantapauksia ei tutkita riittävästi ja että toteutetuissa tutkimuksissa ei oteta merkittävällä </w:t>
      </w:r>
      <w:r w:rsidR="00672699" w:rsidRPr="00672699">
        <w:lastRenderedPageBreak/>
        <w:t>tavalla huomioon omaisten, kuolleiden ja heidän perheidensä laillisten edustajien osallistumista eikä kansalaisyhteiskunnan riippumatonta valvontaa.</w:t>
      </w:r>
      <w:r w:rsidR="00672699">
        <w:rPr>
          <w:rStyle w:val="FootnoteReference"/>
        </w:rPr>
        <w:footnoteReference w:id="75"/>
      </w:r>
    </w:p>
    <w:p w14:paraId="692B238E" w14:textId="6DB3F190" w:rsidR="00414A61" w:rsidRDefault="002439A7" w:rsidP="002439A7">
      <w:proofErr w:type="spellStart"/>
      <w:r>
        <w:t>IHD:n</w:t>
      </w:r>
      <w:proofErr w:type="spellEnd"/>
      <w:r>
        <w:t xml:space="preserve"> mukaan vankilahallinto reagoi vankiloissa esitettyihin oikeuksien vaatimuksiin tai oikeudenloukkauksiin</w:t>
      </w:r>
      <w:r w:rsidR="0086475E">
        <w:t xml:space="preserve"> </w:t>
      </w:r>
      <w:r>
        <w:t>käynnistämällä kurinpitotutkimuksia. Nämä toimet voivat perustua jopa niin mielivaltaisiin syihin kuin vankien keskinäiseen tervehtimiseen tai kuulumisten kysymiseen. Vankilassa koettujen oikeuksien loukkausten ja painostuksen ilmoittaminen ulkopuolelle voi myös olla peruste kurinpitotutkimukselle.</w:t>
      </w:r>
      <w:r w:rsidR="00A50FF4">
        <w:t xml:space="preserve"> </w:t>
      </w:r>
      <w:r w:rsidR="00A50FF4" w:rsidRPr="00A50FF4">
        <w:t xml:space="preserve">Vankien lausunnoissa kerrotaan, että heitä provosoidaan lyömällä tai loukkaamalla sosiaalisten aktiviteettien, lääkärikäyntien, vankilaan saapumisen ja sieltä poistumisen sekä laskennan ja tarkastusten aikana, minkä seurauksena heitä vastaan aloitetaan kurinpitotutkinta. </w:t>
      </w:r>
      <w:proofErr w:type="spellStart"/>
      <w:r w:rsidR="00A50FF4" w:rsidRPr="00A50FF4">
        <w:t>IHD:n</w:t>
      </w:r>
      <w:proofErr w:type="spellEnd"/>
      <w:r w:rsidR="00A50FF4" w:rsidRPr="00A50FF4">
        <w:t xml:space="preserve"> saamien tietojen mukaan tutkinta aloitetaan ja sellirangaistus määrätään kaikille, jotka eivät suostu mielivaltaisiin ja sääntöjen</w:t>
      </w:r>
      <w:r w:rsidR="00B52170">
        <w:t xml:space="preserve"> </w:t>
      </w:r>
      <w:r w:rsidR="00A50FF4" w:rsidRPr="00A50FF4">
        <w:t>vastaisiin menettelyihin.</w:t>
      </w:r>
      <w:r w:rsidR="00A50FF4">
        <w:t xml:space="preserve"> </w:t>
      </w:r>
      <w:r w:rsidR="00A50FF4" w:rsidRPr="00A50FF4">
        <w:t>Jo nyt rangaistusten täytäntöönpanosta annetun lain mukaisia oikeuksia voidaan soveltaa vankilahallinnon harkinnan mukaan. Vakavasti sairaita ja rangaistuksensa viimeistä vuotta suorittavi</w:t>
      </w:r>
      <w:r w:rsidR="00B52170">
        <w:t>en</w:t>
      </w:r>
      <w:r w:rsidR="00A50FF4" w:rsidRPr="00A50FF4">
        <w:t xml:space="preserve"> vank</w:t>
      </w:r>
      <w:r w:rsidR="00B52170">
        <w:t>ien</w:t>
      </w:r>
      <w:r w:rsidR="00A50FF4" w:rsidRPr="00A50FF4">
        <w:t>, jopa hyvässä käyttäytymisessä olevi</w:t>
      </w:r>
      <w:r w:rsidR="00B52170">
        <w:t>en</w:t>
      </w:r>
      <w:r w:rsidR="00A50FF4" w:rsidRPr="00A50FF4">
        <w:t xml:space="preserve"> </w:t>
      </w:r>
      <w:r w:rsidR="00B52170">
        <w:t xml:space="preserve">vankien ehdonalainen vapauttaminen </w:t>
      </w:r>
      <w:r w:rsidR="0086475E">
        <w:t>saatetaan kieltää</w:t>
      </w:r>
      <w:r w:rsidR="00A50FF4" w:rsidRPr="00A50FF4">
        <w:t>.</w:t>
      </w:r>
      <w:r>
        <w:rPr>
          <w:rStyle w:val="FootnoteReference"/>
        </w:rPr>
        <w:footnoteReference w:id="76"/>
      </w:r>
    </w:p>
    <w:p w14:paraId="282C6AD9" w14:textId="5CE6570F" w:rsidR="002A49E2" w:rsidRDefault="002A49E2" w:rsidP="008D3982">
      <w:r>
        <w:t>IHD on raportoinut myös</w:t>
      </w:r>
      <w:r w:rsidR="00B52170">
        <w:t xml:space="preserve"> siitä miten</w:t>
      </w:r>
      <w:r>
        <w:t xml:space="preserve"> </w:t>
      </w:r>
      <w:r w:rsidRPr="002A49E2">
        <w:t xml:space="preserve">pitkät pidätysajat ja viivästyneet syytekirjelmät aiheuttavat </w:t>
      </w:r>
      <w:r w:rsidR="00B52170">
        <w:t>niiden kohteina oleville vangeille</w:t>
      </w:r>
      <w:r w:rsidRPr="002A49E2">
        <w:t xml:space="preserve"> merkittäviä oikeuksien loukkauksia. Joissain tapauksissa vangit eivät ole pystyneet osallistumaan oikeudenkäynteihin kurinpidollisten toimenpiteiden vuoksi. Jo valmiiksi oikeudenkäyntipaikasta kaukana sijaitseviin vankiloihin siirretyiltä vangeilta poistetaan mahdollisuus saapua oikeudenkäynteihin ja palata takaisin. Joissain tapauksissa heidän osallistumisensa varmistetaan SEGBIS-videopuhelujärjestelmän kautta, joka aiheuttaa vahinkoa oikeudenmukaiseen oikeudenkäyntiin ja puolustautumisoikeuteen.</w:t>
      </w:r>
      <w:r>
        <w:rPr>
          <w:rStyle w:val="FootnoteReference"/>
        </w:rPr>
        <w:footnoteReference w:id="77"/>
      </w:r>
      <w:r w:rsidR="008D3982">
        <w:t xml:space="preserve"> YK:n kidutuksen vastaisen komitea</w:t>
      </w:r>
      <w:r w:rsidR="0086475E">
        <w:t xml:space="preserve"> esittää</w:t>
      </w:r>
      <w:r w:rsidR="008D3982">
        <w:t xml:space="preserve"> 14.8.2024 julkaistussa raportissa huolen siitä, että sen saamat</w:t>
      </w:r>
      <w:r w:rsidR="008D3982" w:rsidRPr="008D3982">
        <w:t xml:space="preserve"> tiedot viittaavat siihen, että vapautensa menettäneille henkilöille ei aina tarjota riittäviä oikeudellisia takeita, lainsäädännössä eikä käytännössä, heti pidätyksen alusta lähtien.</w:t>
      </w:r>
      <w:r w:rsidR="008D3982">
        <w:t xml:space="preserve"> Raportin mukaan pidätettyjen oikeutta asianajajaan saatetaan rajoittaa enintään 24 tunnin ajaksi pidätyksen jälkeen, epäiltyjä kuulustellaan toisinaan ilman, että he ovat ehtineet neuvotella asianajajansa kanssa tai ilman asianajajan läsnäoloa, eikä asianajajien ja heidän asiakkaidensa välisten tapaamisten luottamuksellisuutta taata.</w:t>
      </w:r>
      <w:r w:rsidR="0044662A">
        <w:rPr>
          <w:rStyle w:val="FootnoteReference"/>
        </w:rPr>
        <w:footnoteReference w:id="78"/>
      </w:r>
    </w:p>
    <w:p w14:paraId="3844E26A" w14:textId="6437F482" w:rsidR="00F27972" w:rsidRDefault="00F27972" w:rsidP="0025481A">
      <w:pPr>
        <w:tabs>
          <w:tab w:val="left" w:pos="2552"/>
        </w:tabs>
      </w:pPr>
      <w:r>
        <w:t xml:space="preserve">IHD on saanut </w:t>
      </w:r>
      <w:r w:rsidR="005B43F4">
        <w:t>tietoja,</w:t>
      </w:r>
      <w:r>
        <w:t xml:space="preserve"> jotka koskevat avoimissa vankiloissa olevien vankien työoloja, heihin kohdistuneita oikeudenloukkauksia sekä</w:t>
      </w:r>
      <w:r w:rsidR="004704D7">
        <w:t xml:space="preserve"> siitä että vangeilla teetetään vankien </w:t>
      </w:r>
      <w:r>
        <w:t>terveydentilaan sopimatonta työtä</w:t>
      </w:r>
      <w:r w:rsidR="004704D7">
        <w:t>, sekä vanki</w:t>
      </w:r>
      <w:r>
        <w:t>työvoiman hyväksikäytö</w:t>
      </w:r>
      <w:r w:rsidR="004704D7">
        <w:t>stä</w:t>
      </w:r>
      <w:r>
        <w:t>.</w:t>
      </w:r>
      <w:r w:rsidR="001C7446">
        <w:rPr>
          <w:rStyle w:val="FootnoteReference"/>
        </w:rPr>
        <w:footnoteReference w:id="79"/>
      </w:r>
      <w:r>
        <w:t xml:space="preserve">  </w:t>
      </w:r>
    </w:p>
    <w:bookmarkEnd w:id="0"/>
    <w:p w14:paraId="31E05282" w14:textId="77777777" w:rsidR="00082DFE" w:rsidRPr="00E9529F" w:rsidRDefault="00082DFE" w:rsidP="00543F66">
      <w:pPr>
        <w:pStyle w:val="Heading2"/>
        <w:numPr>
          <w:ilvl w:val="0"/>
          <w:numId w:val="0"/>
        </w:numPr>
      </w:pPr>
      <w:r w:rsidRPr="00E9529F">
        <w:t>Lähteet</w:t>
      </w:r>
    </w:p>
    <w:p w14:paraId="2E889D02" w14:textId="77777777" w:rsidR="00414A61" w:rsidRDefault="002C43C7" w:rsidP="00E502BC">
      <w:pPr>
        <w:jc w:val="left"/>
      </w:pPr>
      <w:r>
        <w:t xml:space="preserve">IHD </w:t>
      </w:r>
      <w:r w:rsidR="00AC4346">
        <w:t>(</w:t>
      </w:r>
      <w:proofErr w:type="spellStart"/>
      <w:r w:rsidR="00AC4346" w:rsidRPr="002C43C7">
        <w:t>İnsan</w:t>
      </w:r>
      <w:proofErr w:type="spellEnd"/>
      <w:r w:rsidR="00AC4346" w:rsidRPr="002C43C7">
        <w:t xml:space="preserve"> </w:t>
      </w:r>
      <w:proofErr w:type="spellStart"/>
      <w:r w:rsidR="00AC4346" w:rsidRPr="002C43C7">
        <w:t>Hakları</w:t>
      </w:r>
      <w:proofErr w:type="spellEnd"/>
      <w:r w:rsidR="00AC4346" w:rsidRPr="002C43C7">
        <w:t xml:space="preserve"> </w:t>
      </w:r>
      <w:proofErr w:type="spellStart"/>
      <w:r w:rsidR="00AC4346" w:rsidRPr="002C43C7">
        <w:t>Derneği</w:t>
      </w:r>
      <w:proofErr w:type="spellEnd"/>
      <w:r w:rsidR="00AC4346">
        <w:t xml:space="preserve">) </w:t>
      </w:r>
    </w:p>
    <w:p w14:paraId="66627969" w14:textId="4C29A64A" w:rsidR="002C43C7" w:rsidRDefault="002C43C7" w:rsidP="00E502BC">
      <w:pPr>
        <w:ind w:left="720"/>
        <w:jc w:val="left"/>
      </w:pPr>
      <w:r>
        <w:t>14</w:t>
      </w:r>
      <w:r w:rsidR="00BA7F5C">
        <w:t>.11</w:t>
      </w:r>
      <w:r>
        <w:t xml:space="preserve">.2025. </w:t>
      </w:r>
      <w:r w:rsidRPr="002C43C7">
        <w:t xml:space="preserve">2024 </w:t>
      </w:r>
      <w:proofErr w:type="spellStart"/>
      <w:r w:rsidRPr="002C43C7">
        <w:rPr>
          <w:i/>
          <w:iCs/>
        </w:rPr>
        <w:t>Yili</w:t>
      </w:r>
      <w:proofErr w:type="spellEnd"/>
      <w:r w:rsidRPr="002C43C7">
        <w:rPr>
          <w:i/>
          <w:iCs/>
        </w:rPr>
        <w:t xml:space="preserve"> </w:t>
      </w:r>
      <w:proofErr w:type="spellStart"/>
      <w:r w:rsidRPr="002C43C7">
        <w:rPr>
          <w:i/>
          <w:iCs/>
        </w:rPr>
        <w:t>insan</w:t>
      </w:r>
      <w:proofErr w:type="spellEnd"/>
      <w:r w:rsidRPr="002C43C7">
        <w:rPr>
          <w:i/>
          <w:iCs/>
        </w:rPr>
        <w:t xml:space="preserve"> </w:t>
      </w:r>
      <w:proofErr w:type="spellStart"/>
      <w:r w:rsidRPr="002C43C7">
        <w:rPr>
          <w:i/>
          <w:iCs/>
        </w:rPr>
        <w:t>haklari</w:t>
      </w:r>
      <w:proofErr w:type="spellEnd"/>
      <w:r w:rsidRPr="002C43C7">
        <w:rPr>
          <w:i/>
          <w:iCs/>
        </w:rPr>
        <w:t xml:space="preserve"> </w:t>
      </w:r>
      <w:proofErr w:type="spellStart"/>
      <w:r w:rsidRPr="002C43C7">
        <w:rPr>
          <w:i/>
          <w:iCs/>
        </w:rPr>
        <w:t>ihlalleri</w:t>
      </w:r>
      <w:proofErr w:type="spellEnd"/>
      <w:r w:rsidRPr="002C43C7">
        <w:rPr>
          <w:i/>
          <w:iCs/>
        </w:rPr>
        <w:t xml:space="preserve"> </w:t>
      </w:r>
      <w:proofErr w:type="spellStart"/>
      <w:r w:rsidRPr="002C43C7">
        <w:rPr>
          <w:i/>
          <w:iCs/>
        </w:rPr>
        <w:t>raporu</w:t>
      </w:r>
      <w:proofErr w:type="spellEnd"/>
      <w:r>
        <w:t xml:space="preserve">. </w:t>
      </w:r>
      <w:hyperlink r:id="rId8" w:history="1">
        <w:r w:rsidR="00414A61" w:rsidRPr="006F7212">
          <w:rPr>
            <w:rStyle w:val="Hyperlink"/>
          </w:rPr>
          <w:t>https://www.ihd.org.tr/2024-yili-insan-haklari-ihlalleri-raporu/</w:t>
        </w:r>
      </w:hyperlink>
      <w:r w:rsidRPr="002C43C7">
        <w:t xml:space="preserve"> (kä</w:t>
      </w:r>
      <w:r>
        <w:t xml:space="preserve">yty 21.5.2026). </w:t>
      </w:r>
    </w:p>
    <w:p w14:paraId="4C9AE2F9" w14:textId="61FEDFC5" w:rsidR="00BE2067" w:rsidRDefault="00414A61" w:rsidP="00E502BC">
      <w:pPr>
        <w:ind w:left="720"/>
        <w:jc w:val="left"/>
      </w:pPr>
      <w:r>
        <w:t xml:space="preserve">5.8.2025. </w:t>
      </w:r>
      <w:proofErr w:type="spellStart"/>
      <w:r w:rsidRPr="00414A61">
        <w:rPr>
          <w:i/>
          <w:iCs/>
        </w:rPr>
        <w:t>Türkiye</w:t>
      </w:r>
      <w:proofErr w:type="spellEnd"/>
      <w:r w:rsidRPr="00414A61">
        <w:rPr>
          <w:i/>
          <w:iCs/>
        </w:rPr>
        <w:t xml:space="preserve"> </w:t>
      </w:r>
      <w:proofErr w:type="spellStart"/>
      <w:r w:rsidRPr="00414A61">
        <w:rPr>
          <w:i/>
          <w:iCs/>
        </w:rPr>
        <w:t>Hapishanelerinde</w:t>
      </w:r>
      <w:proofErr w:type="spellEnd"/>
      <w:r w:rsidRPr="00414A61">
        <w:rPr>
          <w:i/>
          <w:iCs/>
        </w:rPr>
        <w:t xml:space="preserve"> </w:t>
      </w:r>
      <w:proofErr w:type="spellStart"/>
      <w:r w:rsidRPr="00414A61">
        <w:rPr>
          <w:i/>
          <w:iCs/>
        </w:rPr>
        <w:t>Hak</w:t>
      </w:r>
      <w:proofErr w:type="spellEnd"/>
      <w:r w:rsidRPr="00414A61">
        <w:rPr>
          <w:i/>
          <w:iCs/>
        </w:rPr>
        <w:t xml:space="preserve"> </w:t>
      </w:r>
      <w:proofErr w:type="spellStart"/>
      <w:r w:rsidRPr="00414A61">
        <w:rPr>
          <w:i/>
          <w:iCs/>
        </w:rPr>
        <w:t>İzleme</w:t>
      </w:r>
      <w:proofErr w:type="spellEnd"/>
      <w:r w:rsidRPr="00414A61">
        <w:rPr>
          <w:i/>
          <w:iCs/>
        </w:rPr>
        <w:t xml:space="preserve"> </w:t>
      </w:r>
      <w:proofErr w:type="spellStart"/>
      <w:r w:rsidRPr="00414A61">
        <w:rPr>
          <w:i/>
          <w:iCs/>
        </w:rPr>
        <w:t>Raporu</w:t>
      </w:r>
      <w:proofErr w:type="spellEnd"/>
      <w:r>
        <w:t>.</w:t>
      </w:r>
      <w:r w:rsidRPr="00414A61">
        <w:t xml:space="preserve"> </w:t>
      </w:r>
      <w:hyperlink r:id="rId9" w:history="1">
        <w:r w:rsidRPr="00414A61">
          <w:rPr>
            <w:rStyle w:val="Hyperlink"/>
          </w:rPr>
          <w:t>https://www.ihd.org.tr/wp-content/uploads/2025/08/2024-Y%C4%B1l%C4%B1-Hapishane-Raporu-1.pdf</w:t>
        </w:r>
      </w:hyperlink>
      <w:r w:rsidRPr="00414A61">
        <w:t xml:space="preserve"> (kä</w:t>
      </w:r>
      <w:r>
        <w:t xml:space="preserve">yty 21.5.2026). </w:t>
      </w:r>
    </w:p>
    <w:p w14:paraId="09DB779D" w14:textId="163CB964" w:rsidR="00BE2067" w:rsidRDefault="00BE2067" w:rsidP="00E502BC">
      <w:pPr>
        <w:jc w:val="left"/>
        <w:rPr>
          <w:lang w:val="en-US"/>
        </w:rPr>
      </w:pPr>
      <w:r w:rsidRPr="00BE2067">
        <w:rPr>
          <w:lang w:val="en-US"/>
        </w:rPr>
        <w:lastRenderedPageBreak/>
        <w:t xml:space="preserve">Justice Square </w:t>
      </w:r>
      <w:r>
        <w:rPr>
          <w:lang w:val="en-US"/>
        </w:rPr>
        <w:t xml:space="preserve">2025. </w:t>
      </w:r>
      <w:r w:rsidRPr="00BE2067">
        <w:rPr>
          <w:i/>
          <w:iCs/>
          <w:lang w:val="en-US"/>
        </w:rPr>
        <w:t>Turkish Prisons Report: Health Challenges is Prisons – Death Cases and Suicides</w:t>
      </w:r>
      <w:r>
        <w:rPr>
          <w:lang w:val="en-US"/>
        </w:rPr>
        <w:t xml:space="preserve">. </w:t>
      </w:r>
      <w:hyperlink r:id="rId10" w:history="1">
        <w:r w:rsidRPr="004468B5">
          <w:rPr>
            <w:rStyle w:val="Hyperlink"/>
            <w:lang w:val="en-US"/>
          </w:rPr>
          <w:t>https://justicesquare.org/turkish-prisons-report/</w:t>
        </w:r>
      </w:hyperlink>
      <w:r w:rsidRPr="004468B5">
        <w:rPr>
          <w:lang w:val="en-US"/>
        </w:rPr>
        <w:t xml:space="preserve"> (</w:t>
      </w:r>
      <w:proofErr w:type="spellStart"/>
      <w:r w:rsidRPr="004468B5">
        <w:rPr>
          <w:lang w:val="en-US"/>
        </w:rPr>
        <w:t>käyty</w:t>
      </w:r>
      <w:proofErr w:type="spellEnd"/>
      <w:r w:rsidRPr="004468B5">
        <w:rPr>
          <w:lang w:val="en-US"/>
        </w:rPr>
        <w:t xml:space="preserve"> 22.5.2026). </w:t>
      </w:r>
    </w:p>
    <w:p w14:paraId="32A0F9DC" w14:textId="24621615" w:rsidR="00C45AEE" w:rsidRPr="00C45AEE" w:rsidRDefault="00C45AEE" w:rsidP="00C45AEE">
      <w:pPr>
        <w:jc w:val="left"/>
      </w:pPr>
      <w:proofErr w:type="spellStart"/>
      <w:r w:rsidRPr="00C45AEE">
        <w:rPr>
          <w:lang w:val="en-US"/>
        </w:rPr>
        <w:t>Mesapotamia</w:t>
      </w:r>
      <w:proofErr w:type="spellEnd"/>
      <w:r w:rsidRPr="00C45AEE">
        <w:rPr>
          <w:lang w:val="en-US"/>
        </w:rPr>
        <w:t xml:space="preserve"> Observatory o</w:t>
      </w:r>
      <w:r>
        <w:rPr>
          <w:lang w:val="en-US"/>
        </w:rPr>
        <w:t xml:space="preserve">f Justice </w:t>
      </w:r>
      <w:r>
        <w:rPr>
          <w:lang w:val="en-US"/>
        </w:rPr>
        <w:t xml:space="preserve">1/2026. </w:t>
      </w:r>
      <w:r w:rsidRPr="00C45AEE">
        <w:rPr>
          <w:i/>
          <w:iCs/>
          <w:lang w:val="en-US"/>
        </w:rPr>
        <w:t>Report on</w:t>
      </w:r>
      <w:r w:rsidRPr="00C45AEE">
        <w:rPr>
          <w:i/>
          <w:iCs/>
          <w:lang w:val="en-US"/>
        </w:rPr>
        <w:t xml:space="preserve"> </w:t>
      </w:r>
      <w:r w:rsidRPr="00C45AEE">
        <w:rPr>
          <w:i/>
          <w:iCs/>
          <w:lang w:val="en-US"/>
        </w:rPr>
        <w:t>Systematic Violations</w:t>
      </w:r>
      <w:r w:rsidRPr="00C45AEE">
        <w:rPr>
          <w:i/>
          <w:iCs/>
          <w:lang w:val="en-US"/>
        </w:rPr>
        <w:t xml:space="preserve"> </w:t>
      </w:r>
      <w:r w:rsidRPr="00C45AEE">
        <w:rPr>
          <w:i/>
          <w:iCs/>
          <w:lang w:val="en-US"/>
        </w:rPr>
        <w:t>Against Kurdish Language</w:t>
      </w:r>
      <w:r w:rsidRPr="00C45AEE">
        <w:rPr>
          <w:i/>
          <w:iCs/>
          <w:lang w:val="en-US"/>
        </w:rPr>
        <w:t xml:space="preserve"> </w:t>
      </w:r>
      <w:r w:rsidRPr="00C45AEE">
        <w:rPr>
          <w:i/>
          <w:iCs/>
          <w:lang w:val="en-US"/>
        </w:rPr>
        <w:t>and Culture</w:t>
      </w:r>
      <w:r w:rsidRPr="00C45AEE">
        <w:rPr>
          <w:i/>
          <w:iCs/>
          <w:lang w:val="en-US"/>
        </w:rPr>
        <w:t xml:space="preserve"> </w:t>
      </w:r>
      <w:r w:rsidRPr="00C45AEE">
        <w:rPr>
          <w:i/>
          <w:iCs/>
          <w:lang w:val="en-US"/>
        </w:rPr>
        <w:t>in Turkey</w:t>
      </w:r>
      <w:r>
        <w:rPr>
          <w:lang w:val="en-US"/>
        </w:rPr>
        <w:t xml:space="preserve">. </w:t>
      </w:r>
      <w:hyperlink r:id="rId11" w:history="1">
        <w:r w:rsidRPr="00C45AEE">
          <w:rPr>
            <w:rStyle w:val="Hyperlink"/>
          </w:rPr>
          <w:t>https://mojust.org/wp-content/uploads/2026/01/Kurdish-Monitoring-2025-Annual-Report.pdf</w:t>
        </w:r>
      </w:hyperlink>
      <w:r w:rsidRPr="00C45AEE">
        <w:t xml:space="preserve"> (kä</w:t>
      </w:r>
      <w:r>
        <w:t xml:space="preserve">yty 27.5.2026). </w:t>
      </w:r>
    </w:p>
    <w:p w14:paraId="05CA0EE3" w14:textId="3690B5F1" w:rsidR="00873A37" w:rsidRDefault="00C267CF" w:rsidP="00E502BC">
      <w:pPr>
        <w:jc w:val="left"/>
      </w:pPr>
      <w:r w:rsidRPr="007E1425">
        <w:rPr>
          <w:lang w:val="en-US"/>
        </w:rPr>
        <w:t xml:space="preserve">Nordic Monitor 12.8.2025. </w:t>
      </w:r>
      <w:r w:rsidRPr="00C267CF">
        <w:rPr>
          <w:i/>
          <w:iCs/>
          <w:lang w:val="en-US"/>
        </w:rPr>
        <w:t>Turkey’s prison population reaches historic high under Erdogan’s rule</w:t>
      </w:r>
      <w:r>
        <w:rPr>
          <w:lang w:val="en-US"/>
        </w:rPr>
        <w:t xml:space="preserve">. </w:t>
      </w:r>
      <w:hyperlink r:id="rId12" w:history="1">
        <w:r w:rsidRPr="00C267CF">
          <w:rPr>
            <w:rStyle w:val="Hyperlink"/>
          </w:rPr>
          <w:t>https://nordicmonitor.com/2025/09/turkeys-prison-population-reaches-historic-high-under-erdogans-rule/</w:t>
        </w:r>
      </w:hyperlink>
      <w:r w:rsidRPr="00C267CF">
        <w:t xml:space="preserve"> (kä</w:t>
      </w:r>
      <w:r>
        <w:t xml:space="preserve">yty 15.5.2026). </w:t>
      </w:r>
    </w:p>
    <w:p w14:paraId="5066A0E5" w14:textId="1984FBDE" w:rsidR="00662C52" w:rsidRDefault="00662C52" w:rsidP="00E502BC">
      <w:pPr>
        <w:jc w:val="left"/>
      </w:pPr>
      <w:r w:rsidRPr="00662C52">
        <w:rPr>
          <w:lang w:val="en-US"/>
        </w:rPr>
        <w:t xml:space="preserve">OMCT (World Organization Against Torture) 6.3.2026. </w:t>
      </w:r>
      <w:r w:rsidRPr="00860714">
        <w:rPr>
          <w:i/>
          <w:iCs/>
          <w:lang w:val="en-US"/>
        </w:rPr>
        <w:t>G</w:t>
      </w:r>
      <w:r w:rsidR="00860714" w:rsidRPr="00860714">
        <w:rPr>
          <w:i/>
          <w:iCs/>
          <w:lang w:val="en-US"/>
        </w:rPr>
        <w:t xml:space="preserve">lobal torture index </w:t>
      </w:r>
      <w:r w:rsidRPr="00860714">
        <w:rPr>
          <w:i/>
          <w:iCs/>
          <w:lang w:val="en-US"/>
        </w:rPr>
        <w:t>2025: T</w:t>
      </w:r>
      <w:r w:rsidR="00860714" w:rsidRPr="00860714">
        <w:rPr>
          <w:i/>
          <w:iCs/>
          <w:lang w:val="en-US"/>
        </w:rPr>
        <w:t>ürkiye factsheet</w:t>
      </w:r>
      <w:r w:rsidR="00860714">
        <w:rPr>
          <w:lang w:val="en-US"/>
        </w:rPr>
        <w:t xml:space="preserve">. </w:t>
      </w:r>
      <w:hyperlink r:id="rId13" w:history="1">
        <w:r w:rsidR="00860714" w:rsidRPr="00860714">
          <w:rPr>
            <w:rStyle w:val="Hyperlink"/>
          </w:rPr>
          <w:t>https://www.omct.org/site-resources/files/factsheets/Factsheet-Turkiye-EN.pdf</w:t>
        </w:r>
      </w:hyperlink>
      <w:r w:rsidR="00860714" w:rsidRPr="00860714">
        <w:t xml:space="preserve"> (käyty 18.5.2026</w:t>
      </w:r>
      <w:r w:rsidR="00860714">
        <w:t>).</w:t>
      </w:r>
    </w:p>
    <w:p w14:paraId="1DBF2FAB" w14:textId="46806B95" w:rsidR="00023926" w:rsidRPr="00023926" w:rsidRDefault="00023926" w:rsidP="00E502BC">
      <w:pPr>
        <w:jc w:val="left"/>
      </w:pPr>
      <w:r w:rsidRPr="00023926">
        <w:rPr>
          <w:lang w:val="en-US"/>
        </w:rPr>
        <w:t>Turkey Rights Monitor [</w:t>
      </w:r>
      <w:proofErr w:type="spellStart"/>
      <w:r w:rsidRPr="00023926">
        <w:rPr>
          <w:lang w:val="en-US"/>
        </w:rPr>
        <w:t>päiväämätön</w:t>
      </w:r>
      <w:proofErr w:type="spellEnd"/>
      <w:r w:rsidRPr="00023926">
        <w:rPr>
          <w:lang w:val="en-US"/>
        </w:rPr>
        <w:t>].</w:t>
      </w:r>
      <w:r w:rsidRPr="00023926">
        <w:rPr>
          <w:lang w:val="en-US"/>
        </w:rPr>
        <w:t xml:space="preserve"> </w:t>
      </w:r>
      <w:r w:rsidRPr="00023926">
        <w:rPr>
          <w:i/>
          <w:iCs/>
          <w:lang w:val="en-US"/>
        </w:rPr>
        <w:t>Prison Human Rights Violations</w:t>
      </w:r>
      <w:r>
        <w:rPr>
          <w:lang w:val="en-US"/>
        </w:rPr>
        <w:t xml:space="preserve">. </w:t>
      </w:r>
      <w:hyperlink r:id="rId14" w:history="1">
        <w:r w:rsidRPr="00023926">
          <w:rPr>
            <w:rStyle w:val="Hyperlink"/>
          </w:rPr>
          <w:t>https://turkeyrightsmonitor.com/en/prison-rights-violations</w:t>
        </w:r>
      </w:hyperlink>
      <w:r w:rsidRPr="00023926">
        <w:t xml:space="preserve"> (käyt</w:t>
      </w:r>
      <w:r>
        <w:t xml:space="preserve">y 27.5.2026). </w:t>
      </w:r>
    </w:p>
    <w:p w14:paraId="76DA2087" w14:textId="77777777" w:rsidR="00154A5F" w:rsidRDefault="00997BFA" w:rsidP="00E502BC">
      <w:pPr>
        <w:jc w:val="left"/>
      </w:pPr>
      <w:r>
        <w:t xml:space="preserve">Turkin tasavalta </w:t>
      </w:r>
    </w:p>
    <w:p w14:paraId="21CCEF14" w14:textId="03EA592F" w:rsidR="001B7F08" w:rsidRPr="005974A4" w:rsidRDefault="001B7F08" w:rsidP="001B7F08">
      <w:pPr>
        <w:ind w:left="720"/>
        <w:jc w:val="left"/>
      </w:pPr>
      <w:r>
        <w:t xml:space="preserve">14.4.2020. </w:t>
      </w:r>
      <w:proofErr w:type="spellStart"/>
      <w:r>
        <w:rPr>
          <w:i/>
          <w:iCs/>
        </w:rPr>
        <w:t>Kanun</w:t>
      </w:r>
      <w:proofErr w:type="spellEnd"/>
      <w:r>
        <w:rPr>
          <w:i/>
          <w:iCs/>
        </w:rPr>
        <w:t xml:space="preserve"> No. 7242. </w:t>
      </w:r>
      <w:proofErr w:type="spellStart"/>
      <w:r>
        <w:t>C</w:t>
      </w:r>
      <w:r w:rsidRPr="001B7F08">
        <w:rPr>
          <w:i/>
          <w:iCs/>
        </w:rPr>
        <w:t>eza</w:t>
      </w:r>
      <w:proofErr w:type="spellEnd"/>
      <w:r w:rsidRPr="001B7F08">
        <w:rPr>
          <w:i/>
          <w:iCs/>
        </w:rPr>
        <w:t xml:space="preserve"> </w:t>
      </w:r>
      <w:proofErr w:type="spellStart"/>
      <w:r w:rsidRPr="001B7F08">
        <w:rPr>
          <w:i/>
          <w:iCs/>
        </w:rPr>
        <w:t>ve</w:t>
      </w:r>
      <w:proofErr w:type="spellEnd"/>
      <w:r w:rsidRPr="001B7F08">
        <w:rPr>
          <w:i/>
          <w:iCs/>
        </w:rPr>
        <w:t xml:space="preserve"> </w:t>
      </w:r>
      <w:proofErr w:type="spellStart"/>
      <w:r w:rsidRPr="001B7F08">
        <w:rPr>
          <w:i/>
          <w:iCs/>
        </w:rPr>
        <w:t>güvenlik</w:t>
      </w:r>
      <w:proofErr w:type="spellEnd"/>
      <w:r w:rsidRPr="001B7F08">
        <w:rPr>
          <w:i/>
          <w:iCs/>
        </w:rPr>
        <w:t xml:space="preserve"> </w:t>
      </w:r>
      <w:proofErr w:type="spellStart"/>
      <w:r w:rsidRPr="001B7F08">
        <w:rPr>
          <w:i/>
          <w:iCs/>
        </w:rPr>
        <w:t>tedbirlerinin</w:t>
      </w:r>
      <w:proofErr w:type="spellEnd"/>
      <w:r w:rsidRPr="001B7F08">
        <w:rPr>
          <w:i/>
          <w:iCs/>
        </w:rPr>
        <w:t xml:space="preserve"> </w:t>
      </w:r>
      <w:proofErr w:type="spellStart"/>
      <w:r w:rsidRPr="001B7F08">
        <w:rPr>
          <w:i/>
          <w:iCs/>
        </w:rPr>
        <w:t>infazi</w:t>
      </w:r>
      <w:proofErr w:type="spellEnd"/>
      <w:r w:rsidRPr="001B7F08">
        <w:rPr>
          <w:i/>
          <w:iCs/>
        </w:rPr>
        <w:t xml:space="preserve"> </w:t>
      </w:r>
      <w:proofErr w:type="spellStart"/>
      <w:r w:rsidRPr="001B7F08">
        <w:rPr>
          <w:i/>
          <w:iCs/>
        </w:rPr>
        <w:t>hakkinda</w:t>
      </w:r>
      <w:proofErr w:type="spellEnd"/>
      <w:r w:rsidRPr="001B7F08">
        <w:rPr>
          <w:i/>
          <w:iCs/>
        </w:rPr>
        <w:t xml:space="preserve"> </w:t>
      </w:r>
      <w:proofErr w:type="spellStart"/>
      <w:r w:rsidRPr="001B7F08">
        <w:rPr>
          <w:i/>
          <w:iCs/>
        </w:rPr>
        <w:t>kanun</w:t>
      </w:r>
      <w:proofErr w:type="spellEnd"/>
      <w:r w:rsidRPr="001B7F08">
        <w:rPr>
          <w:i/>
          <w:iCs/>
        </w:rPr>
        <w:t xml:space="preserve"> </w:t>
      </w:r>
      <w:proofErr w:type="spellStart"/>
      <w:r w:rsidRPr="001B7F08">
        <w:rPr>
          <w:i/>
          <w:iCs/>
        </w:rPr>
        <w:t>ile</w:t>
      </w:r>
      <w:proofErr w:type="spellEnd"/>
      <w:r w:rsidRPr="001B7F08">
        <w:rPr>
          <w:i/>
          <w:iCs/>
        </w:rPr>
        <w:t xml:space="preserve"> </w:t>
      </w:r>
      <w:proofErr w:type="spellStart"/>
      <w:r w:rsidRPr="001B7F08">
        <w:rPr>
          <w:i/>
          <w:iCs/>
        </w:rPr>
        <w:t>bazi</w:t>
      </w:r>
      <w:proofErr w:type="spellEnd"/>
      <w:r w:rsidRPr="001B7F08">
        <w:rPr>
          <w:i/>
          <w:iCs/>
        </w:rPr>
        <w:t xml:space="preserve"> </w:t>
      </w:r>
      <w:proofErr w:type="spellStart"/>
      <w:r w:rsidRPr="001B7F08">
        <w:rPr>
          <w:i/>
          <w:iCs/>
        </w:rPr>
        <w:t>kanunlarda</w:t>
      </w:r>
      <w:proofErr w:type="spellEnd"/>
      <w:r w:rsidRPr="001B7F08">
        <w:rPr>
          <w:i/>
          <w:iCs/>
        </w:rPr>
        <w:t xml:space="preserve"> </w:t>
      </w:r>
      <w:proofErr w:type="spellStart"/>
      <w:r w:rsidRPr="001B7F08">
        <w:rPr>
          <w:i/>
          <w:iCs/>
        </w:rPr>
        <w:t>değişiklik</w:t>
      </w:r>
      <w:proofErr w:type="spellEnd"/>
      <w:r w:rsidRPr="001B7F08">
        <w:rPr>
          <w:i/>
          <w:iCs/>
        </w:rPr>
        <w:t xml:space="preserve"> </w:t>
      </w:r>
      <w:proofErr w:type="spellStart"/>
      <w:r w:rsidRPr="001B7F08">
        <w:rPr>
          <w:i/>
          <w:iCs/>
        </w:rPr>
        <w:t>yapilmasina</w:t>
      </w:r>
      <w:proofErr w:type="spellEnd"/>
      <w:r w:rsidRPr="001B7F08">
        <w:rPr>
          <w:i/>
          <w:iCs/>
        </w:rPr>
        <w:t xml:space="preserve"> </w:t>
      </w:r>
      <w:proofErr w:type="spellStart"/>
      <w:r w:rsidRPr="001B7F08">
        <w:rPr>
          <w:i/>
          <w:iCs/>
        </w:rPr>
        <w:t>dair</w:t>
      </w:r>
      <w:proofErr w:type="spellEnd"/>
      <w:r w:rsidRPr="001B7F08">
        <w:rPr>
          <w:i/>
          <w:iCs/>
        </w:rPr>
        <w:t xml:space="preserve"> </w:t>
      </w:r>
      <w:proofErr w:type="spellStart"/>
      <w:r w:rsidRPr="001B7F08">
        <w:rPr>
          <w:i/>
          <w:iCs/>
        </w:rPr>
        <w:t>kanun</w:t>
      </w:r>
      <w:proofErr w:type="spellEnd"/>
      <w:r>
        <w:t xml:space="preserve">. </w:t>
      </w:r>
      <w:hyperlink r:id="rId15" w:history="1">
        <w:r w:rsidR="005974A4" w:rsidRPr="005974A4">
          <w:rPr>
            <w:rStyle w:val="Hyperlink"/>
          </w:rPr>
          <w:t>https://hhgm.adalet.gov.tr/Resimler/SayfaDokuman/1442020173449Ceza_I%CC%87nfaz_7242%20Say%C4%B1l%C4%B1%20Kanun.pdf</w:t>
        </w:r>
      </w:hyperlink>
      <w:r w:rsidR="005974A4" w:rsidRPr="005974A4">
        <w:t xml:space="preserve"> (kä</w:t>
      </w:r>
      <w:r w:rsidR="005974A4">
        <w:t xml:space="preserve">yty 26.5.2026). </w:t>
      </w:r>
    </w:p>
    <w:p w14:paraId="363DD9F6" w14:textId="62D1B300" w:rsidR="00154A5F" w:rsidRPr="00154A5F" w:rsidRDefault="00154A5F" w:rsidP="00E502BC">
      <w:pPr>
        <w:ind w:left="720"/>
        <w:jc w:val="left"/>
      </w:pPr>
      <w:r>
        <w:t xml:space="preserve">2004. </w:t>
      </w:r>
      <w:proofErr w:type="spellStart"/>
      <w:r w:rsidRPr="00154A5F">
        <w:rPr>
          <w:i/>
          <w:iCs/>
        </w:rPr>
        <w:t>Ceza</w:t>
      </w:r>
      <w:proofErr w:type="spellEnd"/>
      <w:r w:rsidRPr="00154A5F">
        <w:rPr>
          <w:i/>
          <w:iCs/>
        </w:rPr>
        <w:t xml:space="preserve"> </w:t>
      </w:r>
      <w:proofErr w:type="spellStart"/>
      <w:r w:rsidRPr="00154A5F">
        <w:rPr>
          <w:i/>
          <w:iCs/>
        </w:rPr>
        <w:t>Kanunu</w:t>
      </w:r>
      <w:proofErr w:type="spellEnd"/>
      <w:r>
        <w:t xml:space="preserve">. </w:t>
      </w:r>
      <w:hyperlink r:id="rId16" w:history="1">
        <w:r w:rsidRPr="00154A5F">
          <w:rPr>
            <w:rStyle w:val="Hyperlink"/>
          </w:rPr>
          <w:t>https://www.unodc.org/cld/uploads/res/document/tur/penal-code_html/Penal_Code_of_Turkiye.pdf</w:t>
        </w:r>
      </w:hyperlink>
      <w:r w:rsidRPr="00154A5F">
        <w:t xml:space="preserve"> (kä</w:t>
      </w:r>
      <w:r>
        <w:t xml:space="preserve">yty 18.5.2026). </w:t>
      </w:r>
    </w:p>
    <w:p w14:paraId="3ADB75AB" w14:textId="58E1A05B" w:rsidR="00C540F4" w:rsidRDefault="00105CBC" w:rsidP="00E502BC">
      <w:pPr>
        <w:ind w:left="720"/>
        <w:jc w:val="left"/>
      </w:pPr>
      <w:r>
        <w:t>13.12.20</w:t>
      </w:r>
      <w:r w:rsidR="001B7F08">
        <w:t>0</w:t>
      </w:r>
      <w:r>
        <w:t>4</w:t>
      </w:r>
      <w:r w:rsidR="00997BFA">
        <w:t>.</w:t>
      </w:r>
      <w:r w:rsidR="00B936F7">
        <w:t xml:space="preserve"> </w:t>
      </w:r>
      <w:r w:rsidR="00B936F7" w:rsidRPr="00B936F7">
        <w:rPr>
          <w:i/>
          <w:iCs/>
        </w:rPr>
        <w:t xml:space="preserve">5275 </w:t>
      </w:r>
      <w:proofErr w:type="spellStart"/>
      <w:r w:rsidR="00B936F7" w:rsidRPr="00B936F7">
        <w:rPr>
          <w:i/>
          <w:iCs/>
        </w:rPr>
        <w:t>Ceza</w:t>
      </w:r>
      <w:proofErr w:type="spellEnd"/>
      <w:r w:rsidR="00B936F7" w:rsidRPr="00B936F7">
        <w:rPr>
          <w:i/>
          <w:iCs/>
        </w:rPr>
        <w:t xml:space="preserve"> </w:t>
      </w:r>
      <w:proofErr w:type="spellStart"/>
      <w:r w:rsidR="00B936F7" w:rsidRPr="00B936F7">
        <w:rPr>
          <w:i/>
          <w:iCs/>
        </w:rPr>
        <w:t>ve</w:t>
      </w:r>
      <w:proofErr w:type="spellEnd"/>
      <w:r w:rsidR="00B936F7" w:rsidRPr="00B936F7">
        <w:rPr>
          <w:i/>
          <w:iCs/>
        </w:rPr>
        <w:t xml:space="preserve"> </w:t>
      </w:r>
      <w:proofErr w:type="spellStart"/>
      <w:r w:rsidR="00B936F7" w:rsidRPr="00B936F7">
        <w:rPr>
          <w:i/>
          <w:iCs/>
        </w:rPr>
        <w:t>Güvenlik</w:t>
      </w:r>
      <w:proofErr w:type="spellEnd"/>
      <w:r w:rsidR="00B936F7" w:rsidRPr="00B936F7">
        <w:rPr>
          <w:i/>
          <w:iCs/>
        </w:rPr>
        <w:t xml:space="preserve"> </w:t>
      </w:r>
      <w:proofErr w:type="spellStart"/>
      <w:r w:rsidR="00B936F7" w:rsidRPr="00B936F7">
        <w:rPr>
          <w:i/>
          <w:iCs/>
        </w:rPr>
        <w:t>Tedbirlerinin</w:t>
      </w:r>
      <w:proofErr w:type="spellEnd"/>
      <w:r w:rsidR="00B936F7" w:rsidRPr="00B936F7">
        <w:rPr>
          <w:i/>
          <w:iCs/>
        </w:rPr>
        <w:t xml:space="preserve"> </w:t>
      </w:r>
      <w:proofErr w:type="spellStart"/>
      <w:r w:rsidR="00B936F7" w:rsidRPr="00B936F7">
        <w:rPr>
          <w:i/>
          <w:iCs/>
        </w:rPr>
        <w:t>İnfazı</w:t>
      </w:r>
      <w:proofErr w:type="spellEnd"/>
      <w:r w:rsidR="00B936F7" w:rsidRPr="00B936F7">
        <w:rPr>
          <w:i/>
          <w:iCs/>
        </w:rPr>
        <w:t xml:space="preserve"> </w:t>
      </w:r>
      <w:proofErr w:type="spellStart"/>
      <w:r w:rsidR="00B936F7" w:rsidRPr="00B936F7">
        <w:rPr>
          <w:i/>
          <w:iCs/>
        </w:rPr>
        <w:t>Hakkında</w:t>
      </w:r>
      <w:proofErr w:type="spellEnd"/>
      <w:r w:rsidR="00B936F7" w:rsidRPr="00B936F7">
        <w:rPr>
          <w:i/>
          <w:iCs/>
        </w:rPr>
        <w:t xml:space="preserve"> </w:t>
      </w:r>
      <w:proofErr w:type="spellStart"/>
      <w:r w:rsidR="00B936F7" w:rsidRPr="00B936F7">
        <w:rPr>
          <w:i/>
          <w:iCs/>
        </w:rPr>
        <w:t>Kanun</w:t>
      </w:r>
      <w:proofErr w:type="spellEnd"/>
      <w:r w:rsidR="00B936F7">
        <w:t xml:space="preserve">. </w:t>
      </w:r>
      <w:hyperlink r:id="rId17" w:history="1">
        <w:r w:rsidRPr="00B508FA">
          <w:rPr>
            <w:rStyle w:val="Hyperlink"/>
          </w:rPr>
          <w:t>https://mgm.adalet.gov.tr/Resimler/SayfaDokuman/171020191133565275%20say%C4%B1l%C4%B1%20CEZA%20VE%20G%C3%9CVENL%C4%B0K%20TEDB%C4%B0RLER%C4%B0N%C4%B0N%20%C4%B0NFAZI%20HAKKINDA%20KANUN.pdf</w:t>
        </w:r>
      </w:hyperlink>
      <w:r>
        <w:t xml:space="preserve"> </w:t>
      </w:r>
      <w:r w:rsidR="00B936F7" w:rsidRPr="00B936F7">
        <w:t>(kä</w:t>
      </w:r>
      <w:r w:rsidR="00B936F7">
        <w:t xml:space="preserve">yty 18.5.2026). </w:t>
      </w:r>
    </w:p>
    <w:p w14:paraId="1A7733FF" w14:textId="3057FAE4" w:rsidR="0046269D" w:rsidRPr="000471FC" w:rsidRDefault="0046269D" w:rsidP="00E502BC">
      <w:pPr>
        <w:jc w:val="left"/>
      </w:pPr>
      <w:r w:rsidRPr="0046269D">
        <w:t>TIHV (</w:t>
      </w:r>
      <w:proofErr w:type="spellStart"/>
      <w:r w:rsidRPr="0046269D">
        <w:t>Türkiye</w:t>
      </w:r>
      <w:proofErr w:type="spellEnd"/>
      <w:r w:rsidRPr="0046269D">
        <w:t xml:space="preserve"> </w:t>
      </w:r>
      <w:proofErr w:type="spellStart"/>
      <w:r w:rsidRPr="0046269D">
        <w:t>İnsan</w:t>
      </w:r>
      <w:proofErr w:type="spellEnd"/>
      <w:r w:rsidRPr="0046269D">
        <w:t xml:space="preserve"> </w:t>
      </w:r>
      <w:proofErr w:type="spellStart"/>
      <w:r w:rsidRPr="0046269D">
        <w:t>Hakları</w:t>
      </w:r>
      <w:proofErr w:type="spellEnd"/>
      <w:r w:rsidRPr="0046269D">
        <w:t xml:space="preserve"> </w:t>
      </w:r>
      <w:proofErr w:type="spellStart"/>
      <w:r w:rsidRPr="0046269D">
        <w:t>Vakfı</w:t>
      </w:r>
      <w:proofErr w:type="spellEnd"/>
      <w:r w:rsidRPr="0046269D">
        <w:t>) 1.3.2025.</w:t>
      </w:r>
      <w:r>
        <w:t xml:space="preserve"> </w:t>
      </w:r>
      <w:r w:rsidRPr="00932C5A">
        <w:rPr>
          <w:i/>
          <w:iCs/>
        </w:rPr>
        <w:t xml:space="preserve">2024 – </w:t>
      </w:r>
      <w:proofErr w:type="spellStart"/>
      <w:r w:rsidRPr="00932C5A">
        <w:rPr>
          <w:i/>
          <w:iCs/>
        </w:rPr>
        <w:t>Tedavi</w:t>
      </w:r>
      <w:proofErr w:type="spellEnd"/>
      <w:r w:rsidRPr="00932C5A">
        <w:rPr>
          <w:i/>
          <w:iCs/>
        </w:rPr>
        <w:t xml:space="preserve"> </w:t>
      </w:r>
      <w:proofErr w:type="spellStart"/>
      <w:r w:rsidRPr="00932C5A">
        <w:rPr>
          <w:i/>
          <w:iCs/>
        </w:rPr>
        <w:t>ve</w:t>
      </w:r>
      <w:proofErr w:type="spellEnd"/>
      <w:r w:rsidRPr="00932C5A">
        <w:rPr>
          <w:i/>
          <w:iCs/>
        </w:rPr>
        <w:t xml:space="preserve"> </w:t>
      </w:r>
      <w:proofErr w:type="spellStart"/>
      <w:r w:rsidRPr="00932C5A">
        <w:rPr>
          <w:i/>
          <w:iCs/>
        </w:rPr>
        <w:t>Rehabilitasyon</w:t>
      </w:r>
      <w:proofErr w:type="spellEnd"/>
      <w:r w:rsidRPr="00932C5A">
        <w:rPr>
          <w:i/>
          <w:iCs/>
        </w:rPr>
        <w:t xml:space="preserve"> </w:t>
      </w:r>
      <w:proofErr w:type="spellStart"/>
      <w:r w:rsidRPr="00932C5A">
        <w:rPr>
          <w:i/>
          <w:iCs/>
        </w:rPr>
        <w:t>Merkezleri</w:t>
      </w:r>
      <w:proofErr w:type="spellEnd"/>
      <w:r w:rsidRPr="00932C5A">
        <w:rPr>
          <w:i/>
          <w:iCs/>
        </w:rPr>
        <w:t xml:space="preserve"> </w:t>
      </w:r>
      <w:proofErr w:type="spellStart"/>
      <w:r w:rsidRPr="00932C5A">
        <w:rPr>
          <w:i/>
          <w:iCs/>
        </w:rPr>
        <w:t>Raporu</w:t>
      </w:r>
      <w:proofErr w:type="spellEnd"/>
      <w:r w:rsidRPr="00932C5A">
        <w:t xml:space="preserve">. </w:t>
      </w:r>
      <w:hyperlink r:id="rId18" w:history="1">
        <w:r w:rsidR="000471FC" w:rsidRPr="000471FC">
          <w:rPr>
            <w:rStyle w:val="Hyperlink"/>
          </w:rPr>
          <w:t>https://tihv.org.tr/tedavi-ve-rehabilitasyon-raporlari/2024-tedavi-ve-rehabilitasyon-merkezleri-raporu/</w:t>
        </w:r>
      </w:hyperlink>
      <w:r w:rsidR="000471FC" w:rsidRPr="000471FC">
        <w:t xml:space="preserve"> (kä</w:t>
      </w:r>
      <w:r w:rsidR="000471FC">
        <w:t xml:space="preserve">yty 22.5.2026). </w:t>
      </w:r>
    </w:p>
    <w:p w14:paraId="13D967DC" w14:textId="2B58DCC5" w:rsidR="00396B25" w:rsidRPr="00396B25" w:rsidRDefault="00396B25" w:rsidP="00E502BC">
      <w:pPr>
        <w:jc w:val="left"/>
        <w:rPr>
          <w:i/>
          <w:iCs/>
          <w:lang w:val="en-US"/>
        </w:rPr>
      </w:pPr>
      <w:r w:rsidRPr="00396B25">
        <w:rPr>
          <w:lang w:val="en-US"/>
        </w:rPr>
        <w:t>UN Committee A</w:t>
      </w:r>
      <w:r>
        <w:rPr>
          <w:lang w:val="en-US"/>
        </w:rPr>
        <w:t xml:space="preserve">gainst Torture 14.8.2024. </w:t>
      </w:r>
      <w:r w:rsidRPr="00396B25">
        <w:rPr>
          <w:i/>
          <w:iCs/>
          <w:lang w:val="en-US"/>
        </w:rPr>
        <w:t xml:space="preserve">Concluding observations on the 5th periodic report of </w:t>
      </w:r>
      <w:proofErr w:type="spellStart"/>
      <w:r w:rsidRPr="00396B25">
        <w:rPr>
          <w:i/>
          <w:iCs/>
          <w:lang w:val="en-US"/>
        </w:rPr>
        <w:t>Türkiye</w:t>
      </w:r>
      <w:proofErr w:type="spellEnd"/>
      <w:r w:rsidR="003E03BD" w:rsidRPr="003E03BD">
        <w:rPr>
          <w:rStyle w:val="CommentReference"/>
          <w:lang w:val="en-US"/>
        </w:rPr>
        <w:t>:</w:t>
      </w:r>
      <w:r w:rsidRPr="00396B25">
        <w:rPr>
          <w:i/>
          <w:iCs/>
          <w:lang w:val="en-US"/>
        </w:rPr>
        <w:t xml:space="preserve"> Committee against Torture</w:t>
      </w:r>
      <w:r>
        <w:rPr>
          <w:lang w:val="en-US"/>
        </w:rPr>
        <w:t xml:space="preserve">. </w:t>
      </w:r>
      <w:hyperlink r:id="rId19" w:history="1">
        <w:r w:rsidRPr="009B74F2">
          <w:rPr>
            <w:rStyle w:val="Hyperlink"/>
            <w:lang w:val="en-US"/>
          </w:rPr>
          <w:t>https://digitallibrary.un.org/record/4059747?v=pdf</w:t>
        </w:r>
      </w:hyperlink>
      <w:r>
        <w:rPr>
          <w:lang w:val="en-US"/>
        </w:rPr>
        <w:t xml:space="preserve"> (</w:t>
      </w:r>
      <w:proofErr w:type="spellStart"/>
      <w:r>
        <w:rPr>
          <w:lang w:val="en-US"/>
        </w:rPr>
        <w:t>käyty</w:t>
      </w:r>
      <w:proofErr w:type="spellEnd"/>
      <w:r>
        <w:rPr>
          <w:lang w:val="en-US"/>
        </w:rPr>
        <w:t xml:space="preserve"> 22.5.2026). </w:t>
      </w:r>
    </w:p>
    <w:p w14:paraId="33A9BCC8" w14:textId="77777777" w:rsidR="00082DFE" w:rsidRPr="001D5CAA" w:rsidRDefault="00262E54" w:rsidP="00082DFE">
      <w:pPr>
        <w:pStyle w:val="LeiptekstiMigri"/>
        <w:ind w:left="0"/>
        <w:rPr>
          <w:lang w:val="en-GB"/>
        </w:rPr>
      </w:pPr>
      <w:r>
        <w:rPr>
          <w:b/>
        </w:rPr>
        <w:pict w14:anchorId="4E479EA9">
          <v:rect id="_x0000_i1028" style="width:0;height:1.5pt" o:hralign="center" o:hrstd="t" o:hr="t" fillcolor="#a0a0a0" stroked="f"/>
        </w:pict>
      </w:r>
    </w:p>
    <w:p w14:paraId="11BC25D7" w14:textId="77777777" w:rsidR="00082DFE" w:rsidRDefault="001D63F6" w:rsidP="00810134">
      <w:pPr>
        <w:pStyle w:val="Numeroimatonotsikko"/>
      </w:pPr>
      <w:r>
        <w:t>Tietoja vastauksesta</w:t>
      </w:r>
    </w:p>
    <w:p w14:paraId="7A04732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7C1CAE0" w14:textId="77777777" w:rsidR="001D63F6" w:rsidRPr="00BC367A" w:rsidRDefault="001D63F6" w:rsidP="00810134">
      <w:pPr>
        <w:pStyle w:val="Numeroimatonotsikko"/>
        <w:rPr>
          <w:lang w:val="en-GB"/>
        </w:rPr>
      </w:pPr>
      <w:r w:rsidRPr="00BC367A">
        <w:rPr>
          <w:lang w:val="en-GB"/>
        </w:rPr>
        <w:lastRenderedPageBreak/>
        <w:t>Information on the response</w:t>
      </w:r>
    </w:p>
    <w:p w14:paraId="0090C008"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C239F6A" w14:textId="77777777" w:rsidR="00B112B8" w:rsidRPr="00A35BCB" w:rsidRDefault="00B112B8" w:rsidP="00A35BCB">
      <w:pPr>
        <w:rPr>
          <w:lang w:val="en-GB"/>
        </w:rPr>
      </w:pPr>
    </w:p>
    <w:sectPr w:rsidR="00B112B8" w:rsidRPr="00A35BCB" w:rsidSect="00072438">
      <w:headerReference w:type="default" r:id="rId20"/>
      <w:headerReference w:type="first" r:id="rId21"/>
      <w:footerReference w:type="first" r:id="rId22"/>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FA488" w14:textId="77777777" w:rsidR="003F737F" w:rsidRDefault="003F737F" w:rsidP="007E0069">
      <w:pPr>
        <w:spacing w:after="0" w:line="240" w:lineRule="auto"/>
      </w:pPr>
      <w:r>
        <w:separator/>
      </w:r>
    </w:p>
  </w:endnote>
  <w:endnote w:type="continuationSeparator" w:id="0">
    <w:p w14:paraId="2EDDEDC0" w14:textId="77777777" w:rsidR="003F737F" w:rsidRDefault="003F737F"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5697" w14:textId="77777777" w:rsidR="001678AD" w:rsidRDefault="001678AD"/>
  <w:tbl>
    <w:tblPr>
      <w:tblStyle w:val="TableGrid"/>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786F2B8" w14:textId="77777777" w:rsidTr="00483E37">
      <w:trPr>
        <w:trHeight w:val="189"/>
      </w:trPr>
      <w:tc>
        <w:tcPr>
          <w:tcW w:w="1560" w:type="dxa"/>
        </w:tcPr>
        <w:p w14:paraId="6AEDC3C8" w14:textId="77777777" w:rsidR="004D76E3" w:rsidRPr="00A83D54" w:rsidRDefault="004D76E3" w:rsidP="00337E76">
          <w:pPr>
            <w:pStyle w:val="Footer"/>
            <w:rPr>
              <w:sz w:val="14"/>
              <w:szCs w:val="14"/>
            </w:rPr>
          </w:pPr>
        </w:p>
      </w:tc>
      <w:tc>
        <w:tcPr>
          <w:tcW w:w="2551" w:type="dxa"/>
        </w:tcPr>
        <w:p w14:paraId="3E7CC345" w14:textId="77777777" w:rsidR="004D76E3" w:rsidRPr="00A83D54" w:rsidRDefault="004D76E3" w:rsidP="00337E76">
          <w:pPr>
            <w:pStyle w:val="Footer"/>
            <w:rPr>
              <w:sz w:val="14"/>
              <w:szCs w:val="14"/>
            </w:rPr>
          </w:pPr>
        </w:p>
      </w:tc>
      <w:tc>
        <w:tcPr>
          <w:tcW w:w="2552" w:type="dxa"/>
        </w:tcPr>
        <w:p w14:paraId="535C1265" w14:textId="77777777" w:rsidR="004D76E3" w:rsidRPr="00A83D54" w:rsidRDefault="004D76E3" w:rsidP="00337E76">
          <w:pPr>
            <w:pStyle w:val="Footer"/>
            <w:rPr>
              <w:sz w:val="14"/>
              <w:szCs w:val="14"/>
            </w:rPr>
          </w:pPr>
        </w:p>
      </w:tc>
      <w:tc>
        <w:tcPr>
          <w:tcW w:w="2830" w:type="dxa"/>
        </w:tcPr>
        <w:p w14:paraId="0E3A8EDA" w14:textId="77777777" w:rsidR="004D76E3" w:rsidRPr="00A83D54" w:rsidRDefault="004D76E3" w:rsidP="00337E76">
          <w:pPr>
            <w:pStyle w:val="Footer"/>
            <w:rPr>
              <w:sz w:val="14"/>
              <w:szCs w:val="14"/>
            </w:rPr>
          </w:pPr>
        </w:p>
      </w:tc>
    </w:tr>
    <w:tr w:rsidR="004D76E3" w:rsidRPr="00A83D54" w14:paraId="3F7FFCBF" w14:textId="77777777" w:rsidTr="00483E37">
      <w:trPr>
        <w:trHeight w:val="189"/>
      </w:trPr>
      <w:tc>
        <w:tcPr>
          <w:tcW w:w="1560" w:type="dxa"/>
        </w:tcPr>
        <w:p w14:paraId="0F1A7F86" w14:textId="77777777" w:rsidR="004D76E3" w:rsidRPr="00A83D54" w:rsidRDefault="004D76E3" w:rsidP="00337E76">
          <w:pPr>
            <w:pStyle w:val="Footer"/>
            <w:rPr>
              <w:sz w:val="14"/>
              <w:szCs w:val="14"/>
            </w:rPr>
          </w:pPr>
        </w:p>
      </w:tc>
      <w:tc>
        <w:tcPr>
          <w:tcW w:w="2551" w:type="dxa"/>
        </w:tcPr>
        <w:p w14:paraId="069AE2C4" w14:textId="77777777" w:rsidR="004D76E3" w:rsidRPr="00A83D54" w:rsidRDefault="004D76E3" w:rsidP="00337E76">
          <w:pPr>
            <w:pStyle w:val="Footer"/>
            <w:rPr>
              <w:sz w:val="14"/>
              <w:szCs w:val="14"/>
            </w:rPr>
          </w:pPr>
        </w:p>
      </w:tc>
      <w:tc>
        <w:tcPr>
          <w:tcW w:w="2552" w:type="dxa"/>
        </w:tcPr>
        <w:p w14:paraId="7EFA3DAF" w14:textId="77777777" w:rsidR="004D76E3" w:rsidRPr="00A83D54" w:rsidRDefault="004D76E3" w:rsidP="00337E76">
          <w:pPr>
            <w:pStyle w:val="Footer"/>
            <w:rPr>
              <w:sz w:val="14"/>
              <w:szCs w:val="14"/>
            </w:rPr>
          </w:pPr>
        </w:p>
      </w:tc>
      <w:tc>
        <w:tcPr>
          <w:tcW w:w="2830" w:type="dxa"/>
        </w:tcPr>
        <w:p w14:paraId="611D6386" w14:textId="77777777" w:rsidR="004D76E3" w:rsidRPr="00A83D54" w:rsidRDefault="004D76E3" w:rsidP="00337E76">
          <w:pPr>
            <w:pStyle w:val="Footer"/>
            <w:rPr>
              <w:sz w:val="14"/>
              <w:szCs w:val="14"/>
            </w:rPr>
          </w:pPr>
        </w:p>
      </w:tc>
    </w:tr>
    <w:tr w:rsidR="004D76E3" w:rsidRPr="00A83D54" w14:paraId="0491E1E0" w14:textId="77777777" w:rsidTr="00483E37">
      <w:trPr>
        <w:trHeight w:val="189"/>
      </w:trPr>
      <w:tc>
        <w:tcPr>
          <w:tcW w:w="1560" w:type="dxa"/>
        </w:tcPr>
        <w:p w14:paraId="2C1008E6" w14:textId="77777777" w:rsidR="004D76E3" w:rsidRPr="00A83D54" w:rsidRDefault="004D76E3" w:rsidP="00337E76">
          <w:pPr>
            <w:pStyle w:val="Footer"/>
            <w:rPr>
              <w:sz w:val="14"/>
              <w:szCs w:val="14"/>
            </w:rPr>
          </w:pPr>
        </w:p>
      </w:tc>
      <w:tc>
        <w:tcPr>
          <w:tcW w:w="2551" w:type="dxa"/>
        </w:tcPr>
        <w:p w14:paraId="7E322D67" w14:textId="77777777" w:rsidR="004D76E3" w:rsidRPr="00A83D54" w:rsidRDefault="004D76E3" w:rsidP="00337E76">
          <w:pPr>
            <w:pStyle w:val="Footer"/>
            <w:rPr>
              <w:sz w:val="14"/>
              <w:szCs w:val="14"/>
            </w:rPr>
          </w:pPr>
        </w:p>
      </w:tc>
      <w:tc>
        <w:tcPr>
          <w:tcW w:w="2552" w:type="dxa"/>
        </w:tcPr>
        <w:p w14:paraId="6604BE0E" w14:textId="77777777" w:rsidR="004D76E3" w:rsidRPr="00A83D54" w:rsidRDefault="004D76E3" w:rsidP="00337E76">
          <w:pPr>
            <w:pStyle w:val="Footer"/>
            <w:rPr>
              <w:sz w:val="14"/>
              <w:szCs w:val="14"/>
            </w:rPr>
          </w:pPr>
        </w:p>
      </w:tc>
      <w:tc>
        <w:tcPr>
          <w:tcW w:w="2830" w:type="dxa"/>
        </w:tcPr>
        <w:p w14:paraId="5EFBFFD1" w14:textId="77777777" w:rsidR="004D76E3" w:rsidRPr="00A83D54" w:rsidRDefault="004D76E3" w:rsidP="00337E76">
          <w:pPr>
            <w:pStyle w:val="Footer"/>
            <w:rPr>
              <w:sz w:val="14"/>
              <w:szCs w:val="14"/>
            </w:rPr>
          </w:pPr>
        </w:p>
      </w:tc>
    </w:tr>
  </w:tbl>
  <w:p w14:paraId="6B9305E5" w14:textId="77777777" w:rsidR="004D76E3" w:rsidRDefault="004D76E3">
    <w:pPr>
      <w:pStyle w:val="Footer"/>
    </w:pPr>
    <w:r w:rsidRPr="00A83D54">
      <w:rPr>
        <w:noProof/>
        <w:sz w:val="14"/>
        <w:szCs w:val="14"/>
        <w:lang w:eastAsia="fi-FI"/>
      </w:rPr>
      <w:drawing>
        <wp:anchor distT="0" distB="0" distL="114300" distR="114300" simplePos="0" relativeHeight="251667456" behindDoc="0" locked="0" layoutInCell="1" allowOverlap="1" wp14:anchorId="40539DE5" wp14:editId="62DD2112">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25612E3" w14:textId="77777777" w:rsidR="006B3E85" w:rsidRDefault="006B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EF244" w14:textId="77777777" w:rsidR="003F737F" w:rsidRDefault="003F737F" w:rsidP="007E0069">
      <w:pPr>
        <w:spacing w:after="0" w:line="240" w:lineRule="auto"/>
      </w:pPr>
      <w:r>
        <w:separator/>
      </w:r>
    </w:p>
  </w:footnote>
  <w:footnote w:type="continuationSeparator" w:id="0">
    <w:p w14:paraId="798F152C" w14:textId="77777777" w:rsidR="003F737F" w:rsidRDefault="003F737F" w:rsidP="007E0069">
      <w:pPr>
        <w:spacing w:after="0" w:line="240" w:lineRule="auto"/>
      </w:pPr>
      <w:r>
        <w:continuationSeparator/>
      </w:r>
    </w:p>
  </w:footnote>
  <w:footnote w:id="1">
    <w:p w14:paraId="69A4F213" w14:textId="34F5CF23" w:rsidR="005A3D0A" w:rsidRDefault="005A3D0A">
      <w:pPr>
        <w:pStyle w:val="FootnoteText"/>
      </w:pPr>
      <w:r>
        <w:rPr>
          <w:rStyle w:val="FootnoteReference"/>
        </w:rPr>
        <w:footnoteRef/>
      </w:r>
      <w:r>
        <w:t xml:space="preserve"> Turkin tasavalta </w:t>
      </w:r>
      <w:r w:rsidR="00105CBC">
        <w:t>13.12.2004</w:t>
      </w:r>
      <w:r>
        <w:t>, artikla 23, kohdat a &amp; b.</w:t>
      </w:r>
    </w:p>
  </w:footnote>
  <w:footnote w:id="2">
    <w:p w14:paraId="1B0DA576" w14:textId="731C06A9" w:rsidR="008577D2" w:rsidRDefault="008577D2">
      <w:pPr>
        <w:pStyle w:val="FootnoteText"/>
      </w:pPr>
      <w:r>
        <w:rPr>
          <w:rStyle w:val="FootnoteReference"/>
        </w:rPr>
        <w:footnoteRef/>
      </w:r>
      <w:r>
        <w:t xml:space="preserve"> Turkin tasavalta </w:t>
      </w:r>
      <w:r w:rsidR="00105CBC">
        <w:t>13.12.2004</w:t>
      </w:r>
      <w:r>
        <w:t>, artikla 23, kohta a.</w:t>
      </w:r>
    </w:p>
  </w:footnote>
  <w:footnote w:id="3">
    <w:p w14:paraId="13F7D4F1" w14:textId="1B83CC2D" w:rsidR="00130BB1" w:rsidRDefault="00130BB1">
      <w:pPr>
        <w:pStyle w:val="FootnoteText"/>
      </w:pPr>
      <w:r>
        <w:rPr>
          <w:rStyle w:val="FootnoteReference"/>
        </w:rPr>
        <w:footnoteRef/>
      </w:r>
      <w:r>
        <w:t xml:space="preserve"> Turk</w:t>
      </w:r>
      <w:r w:rsidR="00997BFA">
        <w:t xml:space="preserve">in tasavalta </w:t>
      </w:r>
      <w:r w:rsidR="00105CBC">
        <w:t>13.12.2004</w:t>
      </w:r>
      <w:r>
        <w:t>, artikla 23</w:t>
      </w:r>
      <w:r w:rsidR="008577D2">
        <w:t xml:space="preserve">, kohta </w:t>
      </w:r>
      <w:r w:rsidR="00FE77F5">
        <w:t>g</w:t>
      </w:r>
      <w:r>
        <w:t>.</w:t>
      </w:r>
    </w:p>
  </w:footnote>
  <w:footnote w:id="4">
    <w:p w14:paraId="42B1E2A9" w14:textId="4C65B94A" w:rsidR="00352B5B" w:rsidRDefault="00352B5B">
      <w:pPr>
        <w:pStyle w:val="FootnoteText"/>
      </w:pPr>
      <w:r>
        <w:rPr>
          <w:rStyle w:val="FootnoteReference"/>
        </w:rPr>
        <w:footnoteRef/>
      </w:r>
      <w:r>
        <w:t xml:space="preserve"> Turkin tasavalta </w:t>
      </w:r>
      <w:r w:rsidR="00105CBC">
        <w:t>13.12.2004</w:t>
      </w:r>
      <w:r>
        <w:t xml:space="preserve">, artikla 22. </w:t>
      </w:r>
    </w:p>
  </w:footnote>
  <w:footnote w:id="5">
    <w:p w14:paraId="7DDA7B22" w14:textId="043C4E70" w:rsidR="00851E3B" w:rsidRPr="00997BFA" w:rsidRDefault="00851E3B">
      <w:pPr>
        <w:pStyle w:val="FootnoteText"/>
      </w:pPr>
      <w:r>
        <w:rPr>
          <w:rStyle w:val="FootnoteReference"/>
        </w:rPr>
        <w:footnoteRef/>
      </w:r>
      <w:r w:rsidRPr="00997BFA">
        <w:t xml:space="preserve"> </w:t>
      </w:r>
      <w:r w:rsidR="00B936F7">
        <w:t xml:space="preserve">Turkin tasavalta </w:t>
      </w:r>
      <w:r w:rsidR="00105CBC">
        <w:t>13.12.2004</w:t>
      </w:r>
      <w:r w:rsidR="00B936F7">
        <w:t>, artikla</w:t>
      </w:r>
      <w:r w:rsidR="005B43F4">
        <w:t xml:space="preserve"> 23</w:t>
      </w:r>
      <w:r w:rsidR="008577D2">
        <w:t xml:space="preserve">, kohta </w:t>
      </w:r>
      <w:r w:rsidR="002B5DE1">
        <w:t>a</w:t>
      </w:r>
      <w:r w:rsidR="008577D2">
        <w:t>.</w:t>
      </w:r>
    </w:p>
  </w:footnote>
  <w:footnote w:id="6">
    <w:p w14:paraId="4800C235" w14:textId="6DC3AE16" w:rsidR="001B7F08" w:rsidRDefault="001B7F08" w:rsidP="001B7F08">
      <w:pPr>
        <w:pStyle w:val="FootnoteText"/>
      </w:pPr>
      <w:r>
        <w:rPr>
          <w:rStyle w:val="FootnoteReference"/>
        </w:rPr>
        <w:footnoteRef/>
      </w:r>
      <w:r>
        <w:t xml:space="preserve"> Turkin tasavalta 14.4.20</w:t>
      </w:r>
      <w:r w:rsidR="00965A7A">
        <w:t>20</w:t>
      </w:r>
      <w:r w:rsidR="00486F23">
        <w:t>, artikla 18.</w:t>
      </w:r>
    </w:p>
  </w:footnote>
  <w:footnote w:id="7">
    <w:p w14:paraId="1A0C11C1" w14:textId="0F2CBC0A" w:rsidR="00144604" w:rsidRDefault="00144604">
      <w:pPr>
        <w:pStyle w:val="FootnoteText"/>
      </w:pPr>
      <w:r>
        <w:rPr>
          <w:rStyle w:val="FootnoteReference"/>
        </w:rPr>
        <w:footnoteRef/>
      </w:r>
      <w:r>
        <w:t xml:space="preserve"> </w:t>
      </w:r>
      <w:r w:rsidR="00FF1FE4">
        <w:t xml:space="preserve">Turkin tasavalta </w:t>
      </w:r>
      <w:r w:rsidR="00105CBC">
        <w:t>13.12.20</w:t>
      </w:r>
      <w:r w:rsidR="00327764">
        <w:t>20</w:t>
      </w:r>
      <w:r w:rsidR="00FF1FE4">
        <w:t>, artikla 1</w:t>
      </w:r>
      <w:r w:rsidR="00327764">
        <w:t>8</w:t>
      </w:r>
      <w:r w:rsidR="00FF1FE4">
        <w:t xml:space="preserve">, </w:t>
      </w:r>
      <w:r w:rsidR="00327764">
        <w:t>5</w:t>
      </w:r>
      <w:r w:rsidR="00F64A6C">
        <w:t>. pykälä</w:t>
      </w:r>
      <w:r w:rsidR="00FF1FE4">
        <w:t>.</w:t>
      </w:r>
    </w:p>
  </w:footnote>
  <w:footnote w:id="8">
    <w:p w14:paraId="2A82608B" w14:textId="0B101E98" w:rsidR="007E7B30" w:rsidRDefault="007E7B30">
      <w:pPr>
        <w:pStyle w:val="FootnoteText"/>
      </w:pPr>
      <w:r>
        <w:rPr>
          <w:rStyle w:val="FootnoteReference"/>
        </w:rPr>
        <w:footnoteRef/>
      </w:r>
      <w:r>
        <w:t xml:space="preserve"> Turkin tasavalta 2004, artiklat 77 ja 78.</w:t>
      </w:r>
    </w:p>
  </w:footnote>
  <w:footnote w:id="9">
    <w:p w14:paraId="12C9C863" w14:textId="56C1EFD9" w:rsidR="007E7B30" w:rsidRDefault="007E7B30">
      <w:pPr>
        <w:pStyle w:val="FootnoteText"/>
      </w:pPr>
      <w:r>
        <w:rPr>
          <w:rStyle w:val="FootnoteReference"/>
        </w:rPr>
        <w:footnoteRef/>
      </w:r>
      <w:r>
        <w:t xml:space="preserve"> Turkin tasavalta 2004, artiklat 81 ja 82.</w:t>
      </w:r>
    </w:p>
  </w:footnote>
  <w:footnote w:id="10">
    <w:p w14:paraId="6DC2DF9E" w14:textId="57B9F233" w:rsidR="007E7B30" w:rsidRDefault="007E7B30">
      <w:pPr>
        <w:pStyle w:val="FootnoteText"/>
      </w:pPr>
      <w:r>
        <w:rPr>
          <w:rStyle w:val="FootnoteReference"/>
        </w:rPr>
        <w:footnoteRef/>
      </w:r>
      <w:r>
        <w:t xml:space="preserve"> Turkin tasavalta 2004, artikla 188.</w:t>
      </w:r>
    </w:p>
  </w:footnote>
  <w:footnote w:id="11">
    <w:p w14:paraId="628CBB71" w14:textId="5356BEF6" w:rsidR="007E7B30" w:rsidRDefault="007E7B30">
      <w:pPr>
        <w:pStyle w:val="FootnoteText"/>
      </w:pPr>
      <w:r>
        <w:rPr>
          <w:rStyle w:val="FootnoteReference"/>
        </w:rPr>
        <w:footnoteRef/>
      </w:r>
      <w:r>
        <w:t xml:space="preserve"> Turkin tasavalta 2004, artiklat 302, 303, 304, 307 ja 308.</w:t>
      </w:r>
    </w:p>
  </w:footnote>
  <w:footnote w:id="12">
    <w:p w14:paraId="4939774E" w14:textId="71ECBF12" w:rsidR="007E7B30" w:rsidRDefault="007E7B30">
      <w:pPr>
        <w:pStyle w:val="FootnoteText"/>
      </w:pPr>
      <w:r>
        <w:rPr>
          <w:rStyle w:val="FootnoteReference"/>
        </w:rPr>
        <w:footnoteRef/>
      </w:r>
      <w:r>
        <w:t xml:space="preserve"> Turkin tasavalta 2004, artiklat 309 ja 315.</w:t>
      </w:r>
    </w:p>
  </w:footnote>
  <w:footnote w:id="13">
    <w:p w14:paraId="6FFE174C" w14:textId="39D17B0B" w:rsidR="00F64A6C" w:rsidRDefault="00F64A6C">
      <w:pPr>
        <w:pStyle w:val="FootnoteText"/>
      </w:pPr>
      <w:r>
        <w:rPr>
          <w:rStyle w:val="FootnoteReference"/>
        </w:rPr>
        <w:footnoteRef/>
      </w:r>
      <w:r>
        <w:t xml:space="preserve"> Turkin tasavalta </w:t>
      </w:r>
      <w:r w:rsidR="00105CBC">
        <w:t>13.12.2004</w:t>
      </w:r>
      <w:r>
        <w:t>, artikla 9, 2. pykälä.</w:t>
      </w:r>
    </w:p>
  </w:footnote>
  <w:footnote w:id="14">
    <w:p w14:paraId="1D08BD46" w14:textId="6EF43FAF" w:rsidR="00F64A6C" w:rsidRDefault="00F64A6C" w:rsidP="00F64A6C">
      <w:pPr>
        <w:pStyle w:val="FootnoteText"/>
      </w:pPr>
      <w:r>
        <w:rPr>
          <w:rStyle w:val="FootnoteReference"/>
        </w:rPr>
        <w:footnoteRef/>
      </w:r>
      <w:r>
        <w:t xml:space="preserve"> Turkin tasavalta </w:t>
      </w:r>
      <w:r w:rsidR="00105CBC">
        <w:t>13.12.2004</w:t>
      </w:r>
      <w:r>
        <w:t>, artikla 9, 3. pykälä.</w:t>
      </w:r>
    </w:p>
  </w:footnote>
  <w:footnote w:id="15">
    <w:p w14:paraId="4FD3EFBA" w14:textId="005D7EA9" w:rsidR="00297301" w:rsidRDefault="00297301">
      <w:pPr>
        <w:pStyle w:val="FootnoteText"/>
      </w:pPr>
      <w:r>
        <w:rPr>
          <w:rStyle w:val="FootnoteReference"/>
        </w:rPr>
        <w:footnoteRef/>
      </w:r>
      <w:r>
        <w:t xml:space="preserve"> Turkin tasavalta </w:t>
      </w:r>
      <w:r w:rsidR="00105CBC">
        <w:t>13.12.2004</w:t>
      </w:r>
      <w:r>
        <w:t>, artikla 107, 1. pykälä.</w:t>
      </w:r>
    </w:p>
  </w:footnote>
  <w:footnote w:id="16">
    <w:p w14:paraId="449A4960" w14:textId="34AEA21C" w:rsidR="00297301" w:rsidRDefault="00297301">
      <w:pPr>
        <w:pStyle w:val="FootnoteText"/>
      </w:pPr>
      <w:r>
        <w:rPr>
          <w:rStyle w:val="FootnoteReference"/>
        </w:rPr>
        <w:footnoteRef/>
      </w:r>
      <w:r>
        <w:t xml:space="preserve"> Turkin tasavalta </w:t>
      </w:r>
      <w:r w:rsidR="00403DD8">
        <w:t>14.4.2020</w:t>
      </w:r>
      <w:r>
        <w:t xml:space="preserve">, artikla </w:t>
      </w:r>
      <w:r w:rsidR="00403DD8">
        <w:t>48</w:t>
      </w:r>
      <w:r>
        <w:t>.</w:t>
      </w:r>
    </w:p>
  </w:footnote>
  <w:footnote w:id="17">
    <w:p w14:paraId="60D8E2CD" w14:textId="327A0E15" w:rsidR="00297301" w:rsidRDefault="00297301">
      <w:pPr>
        <w:pStyle w:val="FootnoteText"/>
      </w:pPr>
      <w:r>
        <w:rPr>
          <w:rStyle w:val="FootnoteReference"/>
        </w:rPr>
        <w:footnoteRef/>
      </w:r>
      <w:r>
        <w:t xml:space="preserve"> </w:t>
      </w:r>
      <w:r w:rsidR="00403DD8">
        <w:t xml:space="preserve">Turkin tasavalta </w:t>
      </w:r>
      <w:r w:rsidR="006406A6">
        <w:t>13.12.2004, artikla 107</w:t>
      </w:r>
      <w:r w:rsidR="006406A6">
        <w:t>, 5. pykälä</w:t>
      </w:r>
      <w:r>
        <w:t xml:space="preserve">. </w:t>
      </w:r>
    </w:p>
  </w:footnote>
  <w:footnote w:id="18">
    <w:p w14:paraId="28C04164" w14:textId="5A415B5A" w:rsidR="00297301" w:rsidRDefault="00297301">
      <w:pPr>
        <w:pStyle w:val="FootnoteText"/>
      </w:pPr>
      <w:r>
        <w:rPr>
          <w:rStyle w:val="FootnoteReference"/>
        </w:rPr>
        <w:footnoteRef/>
      </w:r>
      <w:r>
        <w:t xml:space="preserve"> Turkin tasavalta </w:t>
      </w:r>
      <w:r w:rsidR="00105CBC">
        <w:t>13.12.2004</w:t>
      </w:r>
      <w:r>
        <w:t xml:space="preserve">, artikla 107, 6. pykälä. </w:t>
      </w:r>
    </w:p>
  </w:footnote>
  <w:footnote w:id="19">
    <w:p w14:paraId="177C0633" w14:textId="3DE197BC" w:rsidR="00297301" w:rsidRDefault="00297301">
      <w:pPr>
        <w:pStyle w:val="FootnoteText"/>
      </w:pPr>
      <w:r>
        <w:rPr>
          <w:rStyle w:val="FootnoteReference"/>
        </w:rPr>
        <w:footnoteRef/>
      </w:r>
      <w:r>
        <w:t xml:space="preserve"> Turkin tasavalta </w:t>
      </w:r>
      <w:r w:rsidR="00105CBC">
        <w:t>13.12.2004</w:t>
      </w:r>
      <w:r>
        <w:t>, artikla 107, 10. pykälä.</w:t>
      </w:r>
    </w:p>
  </w:footnote>
  <w:footnote w:id="20">
    <w:p w14:paraId="50B26895" w14:textId="4CCBEAB1" w:rsidR="0035772C" w:rsidRDefault="0035772C">
      <w:pPr>
        <w:pStyle w:val="FootnoteText"/>
      </w:pPr>
      <w:r>
        <w:rPr>
          <w:rStyle w:val="FootnoteReference"/>
        </w:rPr>
        <w:footnoteRef/>
      </w:r>
      <w:r>
        <w:t xml:space="preserve"> Turkin tasavalta </w:t>
      </w:r>
      <w:r w:rsidR="00105CBC">
        <w:t>13.12.2004</w:t>
      </w:r>
      <w:r>
        <w:t>, artikla 107, 11. pykälä.</w:t>
      </w:r>
    </w:p>
  </w:footnote>
  <w:footnote w:id="21">
    <w:p w14:paraId="7BA31ABA" w14:textId="62E8D36E" w:rsidR="0039053B" w:rsidRPr="0039053B" w:rsidRDefault="0039053B">
      <w:pPr>
        <w:pStyle w:val="FootnoteText"/>
      </w:pPr>
      <w:r>
        <w:rPr>
          <w:rStyle w:val="FootnoteReference"/>
        </w:rPr>
        <w:footnoteRef/>
      </w:r>
      <w:r w:rsidRPr="0039053B">
        <w:t xml:space="preserve"> Turkin tasavalta </w:t>
      </w:r>
      <w:r w:rsidR="00105CBC">
        <w:t>13.12.2004</w:t>
      </w:r>
      <w:r w:rsidRPr="0039053B">
        <w:t>, a</w:t>
      </w:r>
      <w:r>
        <w:t>rtikla 107, 12. pykälä.</w:t>
      </w:r>
    </w:p>
  </w:footnote>
  <w:footnote w:id="22">
    <w:p w14:paraId="4F24A85B" w14:textId="600377B5" w:rsidR="005C123F" w:rsidRDefault="005C123F">
      <w:pPr>
        <w:pStyle w:val="FootnoteText"/>
      </w:pPr>
      <w:r>
        <w:rPr>
          <w:rStyle w:val="FootnoteReference"/>
        </w:rPr>
        <w:footnoteRef/>
      </w:r>
      <w:r>
        <w:t xml:space="preserve"> </w:t>
      </w:r>
      <w:r w:rsidR="006406A6" w:rsidRPr="0039053B">
        <w:t xml:space="preserve">Turkin tasavalta </w:t>
      </w:r>
      <w:r w:rsidR="006406A6">
        <w:t>13.12.2004</w:t>
      </w:r>
      <w:r w:rsidR="006406A6" w:rsidRPr="0039053B">
        <w:t>, a</w:t>
      </w:r>
      <w:r w:rsidR="006406A6">
        <w:t>rtikla 107, 1</w:t>
      </w:r>
      <w:r w:rsidR="006406A6">
        <w:t>3</w:t>
      </w:r>
      <w:r w:rsidR="006406A6">
        <w:t>. pykälä</w:t>
      </w:r>
      <w:r w:rsidR="006406A6">
        <w:t xml:space="preserve">; </w:t>
      </w:r>
      <w:r w:rsidRPr="0039053B">
        <w:t xml:space="preserve">Turkin tasavalta </w:t>
      </w:r>
      <w:r w:rsidR="003A2D68">
        <w:t>14.4.2020</w:t>
      </w:r>
      <w:r w:rsidRPr="0039053B">
        <w:t>, a</w:t>
      </w:r>
      <w:r>
        <w:t xml:space="preserve">rtikla </w:t>
      </w:r>
      <w:r w:rsidR="003A2D68">
        <w:t>48</w:t>
      </w:r>
      <w:r>
        <w:t>.</w:t>
      </w:r>
    </w:p>
  </w:footnote>
  <w:footnote w:id="23">
    <w:p w14:paraId="282BDF61" w14:textId="3BEFB572" w:rsidR="004662AC" w:rsidRDefault="004662AC">
      <w:pPr>
        <w:pStyle w:val="FootnoteText"/>
      </w:pPr>
      <w:r>
        <w:rPr>
          <w:rStyle w:val="FootnoteReference"/>
        </w:rPr>
        <w:footnoteRef/>
      </w:r>
      <w:r>
        <w:t xml:space="preserve"> </w:t>
      </w:r>
      <w:r w:rsidRPr="0039053B">
        <w:t xml:space="preserve">Turkin tasavalta </w:t>
      </w:r>
      <w:r w:rsidR="00105CBC">
        <w:t>13.12.2004</w:t>
      </w:r>
      <w:r w:rsidRPr="0039053B">
        <w:t>, a</w:t>
      </w:r>
      <w:r>
        <w:t>rtikla 107, 15. pykälä.</w:t>
      </w:r>
    </w:p>
  </w:footnote>
  <w:footnote w:id="24">
    <w:p w14:paraId="0D480D1A" w14:textId="2B4ECC01" w:rsidR="00ED2392" w:rsidRDefault="00ED2392">
      <w:pPr>
        <w:pStyle w:val="FootnoteText"/>
      </w:pPr>
      <w:r>
        <w:rPr>
          <w:rStyle w:val="FootnoteReference"/>
        </w:rPr>
        <w:footnoteRef/>
      </w:r>
      <w:r>
        <w:t xml:space="preserve"> </w:t>
      </w:r>
      <w:r w:rsidR="004955B7" w:rsidRPr="0039053B">
        <w:t xml:space="preserve">Turkin tasavalta </w:t>
      </w:r>
      <w:r w:rsidR="00105CBC">
        <w:t>13.12.2004</w:t>
      </w:r>
      <w:r w:rsidR="004955B7" w:rsidRPr="0039053B">
        <w:t>, a</w:t>
      </w:r>
      <w:r w:rsidR="004955B7">
        <w:t>rtikla 108, 1. pykälä</w:t>
      </w:r>
      <w:r w:rsidR="006406A6">
        <w:t xml:space="preserve">; </w:t>
      </w:r>
      <w:r w:rsidR="006406A6" w:rsidRPr="0039053B">
        <w:t xml:space="preserve">Turkin tasavalta </w:t>
      </w:r>
      <w:r w:rsidR="006406A6">
        <w:t>14.4.2020</w:t>
      </w:r>
      <w:r w:rsidR="006406A6" w:rsidRPr="0039053B">
        <w:t>, a</w:t>
      </w:r>
      <w:r w:rsidR="006406A6">
        <w:t>rtikla 4</w:t>
      </w:r>
      <w:r w:rsidR="006406A6">
        <w:t>9.</w:t>
      </w:r>
    </w:p>
  </w:footnote>
  <w:footnote w:id="25">
    <w:p w14:paraId="2127A471" w14:textId="7E665EE8" w:rsidR="004955B7" w:rsidRDefault="004955B7">
      <w:pPr>
        <w:pStyle w:val="FootnoteText"/>
      </w:pPr>
      <w:r>
        <w:rPr>
          <w:rStyle w:val="FootnoteReference"/>
        </w:rPr>
        <w:footnoteRef/>
      </w:r>
      <w:r>
        <w:t xml:space="preserve"> </w:t>
      </w:r>
      <w:r w:rsidRPr="0039053B">
        <w:t xml:space="preserve">Turkin tasavalta </w:t>
      </w:r>
      <w:r w:rsidR="00105CBC">
        <w:t>13.12.2004</w:t>
      </w:r>
      <w:r w:rsidRPr="0039053B">
        <w:t>, a</w:t>
      </w:r>
      <w:r>
        <w:t>rtikla 108, 2. pykälä</w:t>
      </w:r>
      <w:r w:rsidR="009B42A2">
        <w:t xml:space="preserve">; </w:t>
      </w:r>
      <w:r w:rsidR="009B42A2" w:rsidRPr="0039053B">
        <w:t xml:space="preserve">Turkin tasavalta </w:t>
      </w:r>
      <w:r w:rsidR="009B42A2">
        <w:t>14.4.2020</w:t>
      </w:r>
      <w:r w:rsidR="009B42A2" w:rsidRPr="0039053B">
        <w:t>, a</w:t>
      </w:r>
      <w:r w:rsidR="009B42A2">
        <w:t>rtikla 49.</w:t>
      </w:r>
    </w:p>
  </w:footnote>
  <w:footnote w:id="26">
    <w:p w14:paraId="3BD2432B" w14:textId="3697C3F6" w:rsidR="004955B7" w:rsidRDefault="004955B7">
      <w:pPr>
        <w:pStyle w:val="FootnoteText"/>
      </w:pPr>
      <w:r>
        <w:rPr>
          <w:rStyle w:val="FootnoteReference"/>
        </w:rPr>
        <w:footnoteRef/>
      </w:r>
      <w:r>
        <w:t xml:space="preserve"> </w:t>
      </w:r>
      <w:r w:rsidRPr="0039053B">
        <w:t xml:space="preserve">Turkin tasavalta </w:t>
      </w:r>
      <w:r w:rsidR="00105CBC">
        <w:t>13.12.2004</w:t>
      </w:r>
      <w:r w:rsidRPr="0039053B">
        <w:t>, a</w:t>
      </w:r>
      <w:r>
        <w:t>rtikla 108, 3. pykälä</w:t>
      </w:r>
      <w:r w:rsidR="009B42A2">
        <w:t xml:space="preserve">; </w:t>
      </w:r>
      <w:r w:rsidR="009B42A2" w:rsidRPr="0039053B">
        <w:t xml:space="preserve">Turkin tasavalta </w:t>
      </w:r>
      <w:r w:rsidR="009B42A2">
        <w:t>14.4.2020</w:t>
      </w:r>
      <w:r w:rsidR="009B42A2" w:rsidRPr="0039053B">
        <w:t>, a</w:t>
      </w:r>
      <w:r w:rsidR="009B42A2">
        <w:t>rtikla 49.</w:t>
      </w:r>
    </w:p>
  </w:footnote>
  <w:footnote w:id="27">
    <w:p w14:paraId="5C1F3D6F" w14:textId="3A809217" w:rsidR="004955B7" w:rsidRDefault="004955B7">
      <w:pPr>
        <w:pStyle w:val="FootnoteText"/>
      </w:pPr>
      <w:r>
        <w:rPr>
          <w:rStyle w:val="FootnoteReference"/>
        </w:rPr>
        <w:footnoteRef/>
      </w:r>
      <w:r>
        <w:t xml:space="preserve"> Turkin tasavalta </w:t>
      </w:r>
      <w:r w:rsidR="00105CBC">
        <w:t>13.12.2004</w:t>
      </w:r>
      <w:r>
        <w:t xml:space="preserve">, artikla 108, 4. </w:t>
      </w:r>
      <w:r>
        <w:t>pykälä</w:t>
      </w:r>
      <w:r w:rsidR="009B42A2">
        <w:t xml:space="preserve">; </w:t>
      </w:r>
      <w:r w:rsidR="009B42A2" w:rsidRPr="0039053B">
        <w:t xml:space="preserve">Turkin tasavalta </w:t>
      </w:r>
      <w:r w:rsidR="009B42A2">
        <w:t>14.4.2020</w:t>
      </w:r>
      <w:r w:rsidR="009B42A2" w:rsidRPr="0039053B">
        <w:t>, a</w:t>
      </w:r>
      <w:r w:rsidR="009B42A2">
        <w:t xml:space="preserve">rtikla </w:t>
      </w:r>
      <w:r w:rsidR="009B42A2">
        <w:t>49.</w:t>
      </w:r>
    </w:p>
  </w:footnote>
  <w:footnote w:id="28">
    <w:p w14:paraId="0D5EEA94" w14:textId="35C24A79" w:rsidR="00445565" w:rsidRDefault="00445565">
      <w:pPr>
        <w:pStyle w:val="FootnoteText"/>
      </w:pPr>
      <w:r>
        <w:rPr>
          <w:rStyle w:val="FootnoteReference"/>
        </w:rPr>
        <w:footnoteRef/>
      </w:r>
      <w:r>
        <w:t xml:space="preserve"> IHD 5.8.2025, s. 99.</w:t>
      </w:r>
    </w:p>
  </w:footnote>
  <w:footnote w:id="29">
    <w:p w14:paraId="23D88685" w14:textId="47D45CFA" w:rsidR="00672699" w:rsidRPr="00932C5A" w:rsidRDefault="00672699">
      <w:pPr>
        <w:pStyle w:val="FootnoteText"/>
      </w:pPr>
      <w:r>
        <w:rPr>
          <w:rStyle w:val="FootnoteReference"/>
        </w:rPr>
        <w:footnoteRef/>
      </w:r>
      <w:r w:rsidRPr="00932C5A">
        <w:t xml:space="preserve"> </w:t>
      </w:r>
      <w:r w:rsidR="006E6D1D" w:rsidRPr="005A3D0A">
        <w:t xml:space="preserve">UN </w:t>
      </w:r>
      <w:proofErr w:type="spellStart"/>
      <w:r w:rsidR="006E6D1D" w:rsidRPr="005A3D0A">
        <w:t>Committee</w:t>
      </w:r>
      <w:proofErr w:type="spellEnd"/>
      <w:r w:rsidR="006E6D1D" w:rsidRPr="005A3D0A">
        <w:t xml:space="preserve"> </w:t>
      </w:r>
      <w:proofErr w:type="spellStart"/>
      <w:r w:rsidR="006E6D1D" w:rsidRPr="005A3D0A">
        <w:t>Against</w:t>
      </w:r>
      <w:proofErr w:type="spellEnd"/>
      <w:r w:rsidR="006E6D1D" w:rsidRPr="005A3D0A">
        <w:t xml:space="preserve"> </w:t>
      </w:r>
      <w:proofErr w:type="spellStart"/>
      <w:r w:rsidR="006E6D1D" w:rsidRPr="005A3D0A">
        <w:t>Torture</w:t>
      </w:r>
      <w:proofErr w:type="spellEnd"/>
      <w:r w:rsidR="006E6D1D" w:rsidRPr="00932C5A">
        <w:t xml:space="preserve"> </w:t>
      </w:r>
      <w:r w:rsidRPr="00932C5A">
        <w:t>14.8.2024, s. 4, kappale 14, kohta g.</w:t>
      </w:r>
    </w:p>
  </w:footnote>
  <w:footnote w:id="30">
    <w:p w14:paraId="2ABDAB76" w14:textId="442F785C" w:rsidR="00851E3B" w:rsidRPr="00932C5A" w:rsidRDefault="00851E3B">
      <w:pPr>
        <w:pStyle w:val="FootnoteText"/>
      </w:pPr>
      <w:r>
        <w:rPr>
          <w:rStyle w:val="FootnoteReference"/>
        </w:rPr>
        <w:footnoteRef/>
      </w:r>
      <w:r w:rsidRPr="00932C5A">
        <w:t xml:space="preserve"> OMCT 6.3.2026, s. 4.</w:t>
      </w:r>
    </w:p>
  </w:footnote>
  <w:footnote w:id="31">
    <w:p w14:paraId="6493EE3E" w14:textId="0D21845E" w:rsidR="0080659D" w:rsidRDefault="0080659D">
      <w:pPr>
        <w:pStyle w:val="FootnoteText"/>
      </w:pPr>
      <w:r>
        <w:rPr>
          <w:rStyle w:val="FootnoteReference"/>
        </w:rPr>
        <w:footnoteRef/>
      </w:r>
      <w:r>
        <w:t xml:space="preserve"> IHD 5.8.2025, s. 111.</w:t>
      </w:r>
    </w:p>
  </w:footnote>
  <w:footnote w:id="32">
    <w:p w14:paraId="53601C2E" w14:textId="2FE68F93" w:rsidR="00B11B6D" w:rsidRDefault="00B11B6D">
      <w:pPr>
        <w:pStyle w:val="FootnoteText"/>
      </w:pPr>
      <w:r>
        <w:rPr>
          <w:rStyle w:val="FootnoteReference"/>
        </w:rPr>
        <w:footnoteRef/>
      </w:r>
      <w:r>
        <w:t xml:space="preserve"> IHD 5.8.2025, s. 114.</w:t>
      </w:r>
    </w:p>
  </w:footnote>
  <w:footnote w:id="33">
    <w:p w14:paraId="31C94625" w14:textId="765AF4B5" w:rsidR="00E42B9C" w:rsidRDefault="00E42B9C">
      <w:pPr>
        <w:pStyle w:val="FootnoteText"/>
      </w:pPr>
      <w:r>
        <w:rPr>
          <w:rStyle w:val="FootnoteReference"/>
        </w:rPr>
        <w:footnoteRef/>
      </w:r>
      <w:r>
        <w:t xml:space="preserve"> IHD 5.8.2025, s. 119.</w:t>
      </w:r>
    </w:p>
  </w:footnote>
  <w:footnote w:id="34">
    <w:p w14:paraId="4ED4DBD1" w14:textId="03398809" w:rsidR="00C45AEE" w:rsidRPr="00C45AEE" w:rsidRDefault="00C45AEE">
      <w:pPr>
        <w:pStyle w:val="FootnoteText"/>
        <w:rPr>
          <w:lang w:val="en-US"/>
        </w:rPr>
      </w:pPr>
      <w:r>
        <w:rPr>
          <w:rStyle w:val="FootnoteReference"/>
        </w:rPr>
        <w:footnoteRef/>
      </w:r>
      <w:r w:rsidRPr="00C45AEE">
        <w:rPr>
          <w:lang w:val="en-US"/>
        </w:rPr>
        <w:t xml:space="preserve"> </w:t>
      </w:r>
      <w:proofErr w:type="spellStart"/>
      <w:r w:rsidRPr="00C45AEE">
        <w:rPr>
          <w:lang w:val="en-US"/>
        </w:rPr>
        <w:t>Mesapotamia</w:t>
      </w:r>
      <w:proofErr w:type="spellEnd"/>
      <w:r w:rsidRPr="00C45AEE">
        <w:rPr>
          <w:lang w:val="en-US"/>
        </w:rPr>
        <w:t xml:space="preserve"> Observatory o</w:t>
      </w:r>
      <w:r>
        <w:rPr>
          <w:lang w:val="en-US"/>
        </w:rPr>
        <w:t>f Justice 1/2026, s. 3.</w:t>
      </w:r>
    </w:p>
  </w:footnote>
  <w:footnote w:id="35">
    <w:p w14:paraId="6071BA5D" w14:textId="01BC4E73" w:rsidR="00FA3476" w:rsidRPr="00C45AEE" w:rsidRDefault="00FA3476">
      <w:pPr>
        <w:pStyle w:val="FootnoteText"/>
        <w:rPr>
          <w:lang w:val="en-US"/>
        </w:rPr>
      </w:pPr>
      <w:r>
        <w:rPr>
          <w:rStyle w:val="FootnoteReference"/>
        </w:rPr>
        <w:footnoteRef/>
      </w:r>
      <w:r w:rsidRPr="00C45AEE">
        <w:rPr>
          <w:lang w:val="en-US"/>
        </w:rPr>
        <w:t xml:space="preserve"> IHD 5.8.2025, s. 72.</w:t>
      </w:r>
    </w:p>
  </w:footnote>
  <w:footnote w:id="36">
    <w:p w14:paraId="6FD2F3DF" w14:textId="47736B77" w:rsidR="00FA3476" w:rsidRDefault="00FA3476">
      <w:pPr>
        <w:pStyle w:val="FootnoteText"/>
      </w:pPr>
      <w:r>
        <w:rPr>
          <w:rStyle w:val="FootnoteReference"/>
        </w:rPr>
        <w:footnoteRef/>
      </w:r>
      <w:r>
        <w:t xml:space="preserve"> IHD 5.8.2025, s. 73.</w:t>
      </w:r>
    </w:p>
  </w:footnote>
  <w:footnote w:id="37">
    <w:p w14:paraId="024843CB" w14:textId="1F3B55C9" w:rsidR="00BC250D" w:rsidRPr="00932C5A" w:rsidRDefault="00BC250D">
      <w:pPr>
        <w:pStyle w:val="FootnoteText"/>
        <w:rPr>
          <w:lang w:val="en-US"/>
        </w:rPr>
      </w:pPr>
      <w:r>
        <w:rPr>
          <w:rStyle w:val="FootnoteReference"/>
        </w:rPr>
        <w:footnoteRef/>
      </w:r>
      <w:r w:rsidRPr="00932C5A">
        <w:rPr>
          <w:lang w:val="en-US"/>
        </w:rPr>
        <w:t xml:space="preserve"> IHD 5.8.2025, s. 68–69.</w:t>
      </w:r>
    </w:p>
  </w:footnote>
  <w:footnote w:id="38">
    <w:p w14:paraId="0E96A749" w14:textId="39B92BBC" w:rsidR="00C267CF" w:rsidRPr="00851E3B" w:rsidRDefault="00C267CF">
      <w:pPr>
        <w:pStyle w:val="FootnoteText"/>
        <w:rPr>
          <w:lang w:val="en-US"/>
        </w:rPr>
      </w:pPr>
      <w:r>
        <w:rPr>
          <w:rStyle w:val="FootnoteReference"/>
        </w:rPr>
        <w:footnoteRef/>
      </w:r>
      <w:r w:rsidRPr="00851E3B">
        <w:rPr>
          <w:lang w:val="en-US"/>
        </w:rPr>
        <w:t xml:space="preserve"> Nordic Monitor 12.8.2025. </w:t>
      </w:r>
    </w:p>
  </w:footnote>
  <w:footnote w:id="39">
    <w:p w14:paraId="730E8F75" w14:textId="77777777" w:rsidR="00BE2067" w:rsidRPr="00932C5A" w:rsidRDefault="00BE2067" w:rsidP="00BE2067">
      <w:pPr>
        <w:pStyle w:val="FootnoteText"/>
        <w:rPr>
          <w:lang w:val="en-US"/>
        </w:rPr>
      </w:pPr>
      <w:r>
        <w:rPr>
          <w:rStyle w:val="FootnoteReference"/>
        </w:rPr>
        <w:footnoteRef/>
      </w:r>
      <w:r w:rsidRPr="00932C5A">
        <w:rPr>
          <w:lang w:val="en-US"/>
        </w:rPr>
        <w:t xml:space="preserve"> IHD 14.11.2025, s. 9.</w:t>
      </w:r>
    </w:p>
  </w:footnote>
  <w:footnote w:id="40">
    <w:p w14:paraId="3EFDA54F" w14:textId="76F4929B" w:rsidR="00BA49E3" w:rsidRPr="00932C5A" w:rsidRDefault="00BA49E3">
      <w:pPr>
        <w:pStyle w:val="FootnoteText"/>
        <w:rPr>
          <w:lang w:val="en-US"/>
        </w:rPr>
      </w:pPr>
      <w:r>
        <w:rPr>
          <w:rStyle w:val="FootnoteReference"/>
        </w:rPr>
        <w:footnoteRef/>
      </w:r>
      <w:r w:rsidRPr="00932C5A">
        <w:rPr>
          <w:lang w:val="en-US"/>
        </w:rPr>
        <w:t xml:space="preserve"> OMCT 6.3.2026, s. 3.</w:t>
      </w:r>
    </w:p>
  </w:footnote>
  <w:footnote w:id="41">
    <w:p w14:paraId="020A4C3E" w14:textId="3F62617C" w:rsidR="00672699" w:rsidRPr="00672699" w:rsidRDefault="00672699">
      <w:pPr>
        <w:pStyle w:val="FootnoteText"/>
        <w:rPr>
          <w:lang w:val="en-US"/>
        </w:rPr>
      </w:pPr>
      <w:r>
        <w:rPr>
          <w:rStyle w:val="FootnoteReference"/>
        </w:rPr>
        <w:footnoteRef/>
      </w:r>
      <w:r w:rsidRPr="00672699">
        <w:rPr>
          <w:lang w:val="en-US"/>
        </w:rPr>
        <w:t xml:space="preserve"> </w:t>
      </w:r>
      <w:r w:rsidR="007019DE">
        <w:rPr>
          <w:lang w:val="en-US"/>
        </w:rPr>
        <w:t>UN Committee against torture</w:t>
      </w:r>
      <w:r>
        <w:rPr>
          <w:lang w:val="en-US"/>
        </w:rPr>
        <w:t xml:space="preserve"> 14.8.2024, s. 4, </w:t>
      </w:r>
      <w:proofErr w:type="spellStart"/>
      <w:r>
        <w:rPr>
          <w:lang w:val="en-US"/>
        </w:rPr>
        <w:t>kappale</w:t>
      </w:r>
      <w:proofErr w:type="spellEnd"/>
      <w:r>
        <w:rPr>
          <w:lang w:val="en-US"/>
        </w:rPr>
        <w:t xml:space="preserve"> 4, </w:t>
      </w:r>
      <w:proofErr w:type="spellStart"/>
      <w:r>
        <w:rPr>
          <w:lang w:val="en-US"/>
        </w:rPr>
        <w:t>kohta</w:t>
      </w:r>
      <w:proofErr w:type="spellEnd"/>
      <w:r>
        <w:rPr>
          <w:lang w:val="en-US"/>
        </w:rPr>
        <w:t xml:space="preserve"> d.</w:t>
      </w:r>
    </w:p>
  </w:footnote>
  <w:footnote w:id="42">
    <w:p w14:paraId="276152DC" w14:textId="77777777" w:rsidR="007B284A" w:rsidRPr="00672699" w:rsidRDefault="007B284A" w:rsidP="007B284A">
      <w:pPr>
        <w:pStyle w:val="FootnoteText"/>
        <w:rPr>
          <w:lang w:val="en-US"/>
        </w:rPr>
      </w:pPr>
      <w:r>
        <w:rPr>
          <w:rStyle w:val="FootnoteReference"/>
        </w:rPr>
        <w:footnoteRef/>
      </w:r>
      <w:r w:rsidRPr="00672699">
        <w:rPr>
          <w:lang w:val="en-US"/>
        </w:rPr>
        <w:t xml:space="preserve"> IHD 14.11.2025, s. 9.</w:t>
      </w:r>
    </w:p>
  </w:footnote>
  <w:footnote w:id="43">
    <w:p w14:paraId="13C53283" w14:textId="417C755D" w:rsidR="00BE2067" w:rsidRPr="00BE2067" w:rsidRDefault="00BE2067">
      <w:pPr>
        <w:pStyle w:val="FootnoteText"/>
        <w:rPr>
          <w:lang w:val="en-US"/>
        </w:rPr>
      </w:pPr>
      <w:r>
        <w:rPr>
          <w:rStyle w:val="FootnoteReference"/>
        </w:rPr>
        <w:footnoteRef/>
      </w:r>
      <w:r w:rsidRPr="00BE2067">
        <w:rPr>
          <w:lang w:val="en-US"/>
        </w:rPr>
        <w:t xml:space="preserve"> Justice Square </w:t>
      </w:r>
      <w:r>
        <w:rPr>
          <w:lang w:val="en-US"/>
        </w:rPr>
        <w:t xml:space="preserve">2025, </w:t>
      </w:r>
      <w:r w:rsidRPr="00BE2067">
        <w:rPr>
          <w:lang w:val="en-US"/>
        </w:rPr>
        <w:t>s</w:t>
      </w:r>
      <w:r>
        <w:rPr>
          <w:lang w:val="en-US"/>
        </w:rPr>
        <w:t>. 86.</w:t>
      </w:r>
    </w:p>
  </w:footnote>
  <w:footnote w:id="44">
    <w:p w14:paraId="6AABA778" w14:textId="26B549C8" w:rsidR="00F90ED9" w:rsidRDefault="00F90ED9">
      <w:pPr>
        <w:pStyle w:val="FootnoteText"/>
      </w:pPr>
      <w:r>
        <w:rPr>
          <w:rStyle w:val="FootnoteReference"/>
        </w:rPr>
        <w:footnoteRef/>
      </w:r>
      <w:r>
        <w:t xml:space="preserve"> TIHV 1.3.2025, s. 74.</w:t>
      </w:r>
    </w:p>
  </w:footnote>
  <w:footnote w:id="45">
    <w:p w14:paraId="3D07EEC1" w14:textId="77777777" w:rsidR="00F84814" w:rsidRPr="00932C5A" w:rsidRDefault="00F84814" w:rsidP="00F84814">
      <w:pPr>
        <w:pStyle w:val="FootnoteText"/>
      </w:pPr>
      <w:r>
        <w:rPr>
          <w:rStyle w:val="FootnoteReference"/>
        </w:rPr>
        <w:footnoteRef/>
      </w:r>
      <w:r w:rsidRPr="00932C5A">
        <w:t xml:space="preserve"> IHD 5.8.2025, s. 70.</w:t>
      </w:r>
    </w:p>
  </w:footnote>
  <w:footnote w:id="46">
    <w:p w14:paraId="745F2CF7" w14:textId="77777777" w:rsidR="00F84814" w:rsidRDefault="00F84814" w:rsidP="00F84814">
      <w:pPr>
        <w:pStyle w:val="FootnoteText"/>
      </w:pPr>
      <w:r>
        <w:rPr>
          <w:rStyle w:val="FootnoteReference"/>
        </w:rPr>
        <w:footnoteRef/>
      </w:r>
      <w:r>
        <w:t xml:space="preserve"> IHD 5.8.2025, s. 72</w:t>
      </w:r>
      <w:r w:rsidRPr="00B444A1">
        <w:t>–</w:t>
      </w:r>
      <w:r>
        <w:t>73.</w:t>
      </w:r>
    </w:p>
  </w:footnote>
  <w:footnote w:id="47">
    <w:p w14:paraId="5DE4B8E5" w14:textId="77777777" w:rsidR="00F84814" w:rsidRDefault="00F84814" w:rsidP="00F84814">
      <w:pPr>
        <w:pStyle w:val="FootnoteText"/>
      </w:pPr>
      <w:r>
        <w:rPr>
          <w:rStyle w:val="FootnoteReference"/>
        </w:rPr>
        <w:footnoteRef/>
      </w:r>
      <w:r>
        <w:t xml:space="preserve"> IHD 5.8.2025, s. 84.</w:t>
      </w:r>
    </w:p>
  </w:footnote>
  <w:footnote w:id="48">
    <w:p w14:paraId="55887252" w14:textId="54ED9205" w:rsidR="002A49E2" w:rsidRPr="00445565" w:rsidRDefault="002A49E2">
      <w:pPr>
        <w:pStyle w:val="FootnoteText"/>
      </w:pPr>
      <w:r>
        <w:rPr>
          <w:rStyle w:val="FootnoteReference"/>
        </w:rPr>
        <w:footnoteRef/>
      </w:r>
      <w:r w:rsidRPr="00445565">
        <w:t xml:space="preserve"> IHD 5.8.2025, s. 96.</w:t>
      </w:r>
    </w:p>
  </w:footnote>
  <w:footnote w:id="49">
    <w:p w14:paraId="11A39A62" w14:textId="23E3F62E" w:rsidR="006E3C97" w:rsidRDefault="006E3C97">
      <w:pPr>
        <w:pStyle w:val="FootnoteText"/>
      </w:pPr>
      <w:r>
        <w:rPr>
          <w:rStyle w:val="FootnoteReference"/>
        </w:rPr>
        <w:footnoteRef/>
      </w:r>
      <w:r>
        <w:t xml:space="preserve"> TIHV 1.3.2025, s. 74.</w:t>
      </w:r>
    </w:p>
  </w:footnote>
  <w:footnote w:id="50">
    <w:p w14:paraId="238DA2CE" w14:textId="77777777" w:rsidR="00BE2067" w:rsidRPr="00BE2067" w:rsidRDefault="00BE2067" w:rsidP="00BE2067">
      <w:pPr>
        <w:pStyle w:val="FootnoteText"/>
      </w:pPr>
      <w:r>
        <w:rPr>
          <w:rStyle w:val="FootnoteReference"/>
        </w:rPr>
        <w:footnoteRef/>
      </w:r>
      <w:r w:rsidRPr="00BE2067">
        <w:t xml:space="preserve"> IHD 5.8.2025, s. 63.</w:t>
      </w:r>
    </w:p>
  </w:footnote>
  <w:footnote w:id="51">
    <w:p w14:paraId="0BAB8065" w14:textId="77777777" w:rsidR="00BE2067" w:rsidRPr="00147B96" w:rsidRDefault="00BE2067" w:rsidP="00BE2067">
      <w:pPr>
        <w:pStyle w:val="FootnoteText"/>
      </w:pPr>
      <w:r>
        <w:rPr>
          <w:rStyle w:val="FootnoteReference"/>
        </w:rPr>
        <w:footnoteRef/>
      </w:r>
      <w:r w:rsidRPr="00147B96">
        <w:t xml:space="preserve"> IHD 5.8.2025, s. 64.</w:t>
      </w:r>
    </w:p>
  </w:footnote>
  <w:footnote w:id="52">
    <w:p w14:paraId="4D696813" w14:textId="77777777" w:rsidR="00BE2067" w:rsidRPr="007B284A" w:rsidRDefault="00BE2067" w:rsidP="00BE2067">
      <w:pPr>
        <w:pStyle w:val="FootnoteText"/>
      </w:pPr>
      <w:r>
        <w:rPr>
          <w:rStyle w:val="FootnoteReference"/>
        </w:rPr>
        <w:footnoteRef/>
      </w:r>
      <w:r w:rsidRPr="007B284A">
        <w:t xml:space="preserve"> IHD 5.8.2025, s. 66.</w:t>
      </w:r>
    </w:p>
  </w:footnote>
  <w:footnote w:id="53">
    <w:p w14:paraId="0F0DC8EE" w14:textId="77777777" w:rsidR="00BE2067" w:rsidRDefault="00BE2067" w:rsidP="00BE2067">
      <w:pPr>
        <w:pStyle w:val="FootnoteText"/>
      </w:pPr>
      <w:r>
        <w:rPr>
          <w:rStyle w:val="FootnoteReference"/>
        </w:rPr>
        <w:footnoteRef/>
      </w:r>
      <w:r>
        <w:t xml:space="preserve"> IHD 14.11.2025, s. 9.</w:t>
      </w:r>
    </w:p>
  </w:footnote>
  <w:footnote w:id="54">
    <w:p w14:paraId="0E202136" w14:textId="77777777" w:rsidR="00445565" w:rsidRPr="00445565" w:rsidRDefault="00445565" w:rsidP="00445565">
      <w:pPr>
        <w:pStyle w:val="FootnoteText"/>
      </w:pPr>
      <w:r>
        <w:rPr>
          <w:rStyle w:val="FootnoteReference"/>
        </w:rPr>
        <w:footnoteRef/>
      </w:r>
      <w:r w:rsidRPr="00445565">
        <w:t xml:space="preserve"> IHD 5.8.2025, s. 90.</w:t>
      </w:r>
    </w:p>
  </w:footnote>
  <w:footnote w:id="55">
    <w:p w14:paraId="0D356182" w14:textId="6AD2FF0A" w:rsidR="00445565" w:rsidRDefault="00445565">
      <w:pPr>
        <w:pStyle w:val="FootnoteText"/>
      </w:pPr>
      <w:r>
        <w:rPr>
          <w:rStyle w:val="FootnoteReference"/>
        </w:rPr>
        <w:footnoteRef/>
      </w:r>
      <w:r>
        <w:t xml:space="preserve"> IHD 5.8.2025, s. 101.</w:t>
      </w:r>
    </w:p>
  </w:footnote>
  <w:footnote w:id="56">
    <w:p w14:paraId="04C6F75C" w14:textId="77777777" w:rsidR="005C3A07" w:rsidRPr="00445565" w:rsidRDefault="005C3A07" w:rsidP="005C3A07">
      <w:pPr>
        <w:pStyle w:val="FootnoteText"/>
      </w:pPr>
      <w:r>
        <w:rPr>
          <w:rStyle w:val="FootnoteReference"/>
        </w:rPr>
        <w:footnoteRef/>
      </w:r>
      <w:r w:rsidRPr="00445565">
        <w:t xml:space="preserve"> OMCT 6.3.2026, s. 1.</w:t>
      </w:r>
    </w:p>
  </w:footnote>
  <w:footnote w:id="57">
    <w:p w14:paraId="526E0577" w14:textId="77777777" w:rsidR="00AF51F3" w:rsidRPr="00F84814" w:rsidRDefault="00AF51F3" w:rsidP="00AF51F3">
      <w:pPr>
        <w:pStyle w:val="FootnoteText"/>
      </w:pPr>
      <w:r>
        <w:rPr>
          <w:rStyle w:val="FootnoteReference"/>
        </w:rPr>
        <w:footnoteRef/>
      </w:r>
      <w:r w:rsidRPr="00F84814">
        <w:t xml:space="preserve"> OMCT 6.3.2026, s. 4.</w:t>
      </w:r>
    </w:p>
  </w:footnote>
  <w:footnote w:id="58">
    <w:p w14:paraId="1740901A" w14:textId="31201BFF" w:rsidR="0046269D" w:rsidRDefault="0046269D">
      <w:pPr>
        <w:pStyle w:val="FootnoteText"/>
      </w:pPr>
      <w:r>
        <w:rPr>
          <w:rStyle w:val="FootnoteReference"/>
        </w:rPr>
        <w:footnoteRef/>
      </w:r>
      <w:r>
        <w:t xml:space="preserve"> TIHV 1.3.2025, s. 68.</w:t>
      </w:r>
    </w:p>
  </w:footnote>
  <w:footnote w:id="59">
    <w:p w14:paraId="0771810E" w14:textId="29FEEA15" w:rsidR="000471FC" w:rsidRPr="002A1856" w:rsidRDefault="000471FC">
      <w:pPr>
        <w:pStyle w:val="FootnoteText"/>
        <w:rPr>
          <w:lang w:val="sv-SE"/>
        </w:rPr>
      </w:pPr>
      <w:r>
        <w:rPr>
          <w:rStyle w:val="FootnoteReference"/>
        </w:rPr>
        <w:footnoteRef/>
      </w:r>
      <w:r w:rsidRPr="002A1856">
        <w:rPr>
          <w:lang w:val="sv-SE"/>
        </w:rPr>
        <w:t xml:space="preserve"> TIHV 1.3.2025, s. 69.</w:t>
      </w:r>
    </w:p>
  </w:footnote>
  <w:footnote w:id="60">
    <w:p w14:paraId="35B5BB47" w14:textId="47894283" w:rsidR="0055574C" w:rsidRPr="002A1856" w:rsidRDefault="0055574C">
      <w:pPr>
        <w:pStyle w:val="FootnoteText"/>
        <w:rPr>
          <w:lang w:val="sv-SE"/>
        </w:rPr>
      </w:pPr>
      <w:r>
        <w:rPr>
          <w:rStyle w:val="FootnoteReference"/>
        </w:rPr>
        <w:footnoteRef/>
      </w:r>
      <w:r w:rsidRPr="002A1856">
        <w:rPr>
          <w:lang w:val="sv-SE"/>
        </w:rPr>
        <w:t xml:space="preserve"> TIHV 1.3.2025, s. 72.</w:t>
      </w:r>
    </w:p>
  </w:footnote>
  <w:footnote w:id="61">
    <w:p w14:paraId="14E029F5" w14:textId="77777777" w:rsidR="00023926" w:rsidRDefault="00023926" w:rsidP="00023926">
      <w:pPr>
        <w:pStyle w:val="FootnoteText"/>
      </w:pPr>
      <w:r>
        <w:rPr>
          <w:rStyle w:val="FootnoteReference"/>
        </w:rPr>
        <w:footnoteRef/>
      </w:r>
      <w:r>
        <w:t xml:space="preserve"> </w:t>
      </w:r>
      <w:proofErr w:type="spellStart"/>
      <w:r>
        <w:t>Turkey</w:t>
      </w:r>
      <w:proofErr w:type="spellEnd"/>
      <w:r>
        <w:t xml:space="preserve"> Rights </w:t>
      </w:r>
      <w:proofErr w:type="spellStart"/>
      <w:r>
        <w:t>Monitor</w:t>
      </w:r>
      <w:proofErr w:type="spellEnd"/>
      <w:r>
        <w:t xml:space="preserve"> [päiväämätön].</w:t>
      </w:r>
    </w:p>
  </w:footnote>
  <w:footnote w:id="62">
    <w:p w14:paraId="0140F2A8" w14:textId="77777777" w:rsidR="003074F6" w:rsidRPr="00023926" w:rsidRDefault="003074F6" w:rsidP="003074F6">
      <w:pPr>
        <w:pStyle w:val="FootnoteText"/>
      </w:pPr>
      <w:r>
        <w:rPr>
          <w:rStyle w:val="FootnoteReference"/>
        </w:rPr>
        <w:footnoteRef/>
      </w:r>
      <w:r w:rsidRPr="00023926">
        <w:t xml:space="preserve"> TIHV 1.3.2025, s. 70.</w:t>
      </w:r>
    </w:p>
  </w:footnote>
  <w:footnote w:id="63">
    <w:p w14:paraId="33A9C2B7" w14:textId="77777777" w:rsidR="003074F6" w:rsidRPr="006E3C97" w:rsidRDefault="003074F6" w:rsidP="003074F6">
      <w:pPr>
        <w:pStyle w:val="FootnoteText"/>
        <w:rPr>
          <w:lang w:val="sv-SE"/>
        </w:rPr>
      </w:pPr>
      <w:r>
        <w:rPr>
          <w:rStyle w:val="FootnoteReference"/>
        </w:rPr>
        <w:footnoteRef/>
      </w:r>
      <w:r w:rsidRPr="006E3C97">
        <w:rPr>
          <w:lang w:val="sv-SE"/>
        </w:rPr>
        <w:t xml:space="preserve"> TIHV 1.3.2025, s. 72.</w:t>
      </w:r>
    </w:p>
  </w:footnote>
  <w:footnote w:id="64">
    <w:p w14:paraId="129FBC5A" w14:textId="77777777" w:rsidR="003074F6" w:rsidRPr="006E3C97" w:rsidRDefault="003074F6" w:rsidP="003074F6">
      <w:pPr>
        <w:pStyle w:val="FootnoteText"/>
        <w:rPr>
          <w:lang w:val="sv-SE"/>
        </w:rPr>
      </w:pPr>
      <w:r>
        <w:rPr>
          <w:rStyle w:val="FootnoteReference"/>
        </w:rPr>
        <w:footnoteRef/>
      </w:r>
      <w:r w:rsidRPr="006E3C97">
        <w:rPr>
          <w:lang w:val="sv-SE"/>
        </w:rPr>
        <w:t xml:space="preserve"> TIVH 1.3.2025, s. 71.</w:t>
      </w:r>
    </w:p>
  </w:footnote>
  <w:footnote w:id="65">
    <w:p w14:paraId="15098DD2" w14:textId="77777777" w:rsidR="003074F6" w:rsidRPr="002A1856" w:rsidRDefault="003074F6" w:rsidP="003074F6">
      <w:pPr>
        <w:pStyle w:val="FootnoteText"/>
        <w:rPr>
          <w:lang w:val="sv-SE"/>
        </w:rPr>
      </w:pPr>
      <w:r>
        <w:rPr>
          <w:rStyle w:val="FootnoteReference"/>
        </w:rPr>
        <w:footnoteRef/>
      </w:r>
      <w:r w:rsidRPr="002A1856">
        <w:rPr>
          <w:lang w:val="sv-SE"/>
        </w:rPr>
        <w:t xml:space="preserve"> TIHV 1.3.2025, s. 74.</w:t>
      </w:r>
    </w:p>
  </w:footnote>
  <w:footnote w:id="66">
    <w:p w14:paraId="440115DC" w14:textId="2E798D12" w:rsidR="00E26A76" w:rsidRPr="000471FC" w:rsidRDefault="00E26A76">
      <w:pPr>
        <w:pStyle w:val="FootnoteText"/>
      </w:pPr>
      <w:r>
        <w:rPr>
          <w:rStyle w:val="FootnoteReference"/>
        </w:rPr>
        <w:footnoteRef/>
      </w:r>
      <w:r w:rsidRPr="000471FC">
        <w:t xml:space="preserve"> IHD 14.11.2025, s. 6.</w:t>
      </w:r>
    </w:p>
  </w:footnote>
  <w:footnote w:id="67">
    <w:p w14:paraId="2526F7FD" w14:textId="77777777" w:rsidR="00E26A76" w:rsidRDefault="00E26A76" w:rsidP="00E26A76">
      <w:pPr>
        <w:pStyle w:val="FootnoteText"/>
      </w:pPr>
      <w:r>
        <w:rPr>
          <w:rStyle w:val="FootnoteReference"/>
        </w:rPr>
        <w:footnoteRef/>
      </w:r>
      <w:r>
        <w:t xml:space="preserve"> IHD 5.8.2025, s. 59.</w:t>
      </w:r>
    </w:p>
  </w:footnote>
  <w:footnote w:id="68">
    <w:p w14:paraId="131B83D2" w14:textId="6C277B91" w:rsidR="00F059E9" w:rsidRPr="00932C5A" w:rsidRDefault="00F059E9">
      <w:pPr>
        <w:pStyle w:val="FootnoteText"/>
      </w:pPr>
      <w:r>
        <w:rPr>
          <w:rStyle w:val="FootnoteReference"/>
        </w:rPr>
        <w:footnoteRef/>
      </w:r>
      <w:r w:rsidRPr="00932C5A">
        <w:t xml:space="preserve"> IHD 5.8.2025, s. 55–57.</w:t>
      </w:r>
    </w:p>
  </w:footnote>
  <w:footnote w:id="69">
    <w:p w14:paraId="6FE4B2E8" w14:textId="77777777" w:rsidR="00552E06" w:rsidRDefault="00552E06" w:rsidP="00552E06">
      <w:pPr>
        <w:pStyle w:val="FootnoteText"/>
      </w:pPr>
      <w:r>
        <w:rPr>
          <w:rStyle w:val="FootnoteReference"/>
        </w:rPr>
        <w:footnoteRef/>
      </w:r>
      <w:r>
        <w:t xml:space="preserve"> IHD 5.8.2025, s. 59.</w:t>
      </w:r>
    </w:p>
  </w:footnote>
  <w:footnote w:id="70">
    <w:p w14:paraId="11D1EEE8" w14:textId="7801CAE0" w:rsidR="00552E06" w:rsidRDefault="00552E06">
      <w:pPr>
        <w:pStyle w:val="FootnoteText"/>
      </w:pPr>
      <w:r>
        <w:rPr>
          <w:rStyle w:val="FootnoteReference"/>
        </w:rPr>
        <w:footnoteRef/>
      </w:r>
      <w:r>
        <w:t xml:space="preserve"> IHD 5.8.2025, s. 62.</w:t>
      </w:r>
    </w:p>
  </w:footnote>
  <w:footnote w:id="71">
    <w:p w14:paraId="3FE8E207" w14:textId="77777777" w:rsidR="00BC250D" w:rsidRDefault="00BC250D" w:rsidP="00BC250D">
      <w:pPr>
        <w:pStyle w:val="FootnoteText"/>
      </w:pPr>
      <w:r>
        <w:rPr>
          <w:rStyle w:val="FootnoteReference"/>
        </w:rPr>
        <w:footnoteRef/>
      </w:r>
      <w:r>
        <w:t xml:space="preserve"> IHD 5.8.2025, s. 67.</w:t>
      </w:r>
    </w:p>
  </w:footnote>
  <w:footnote w:id="72">
    <w:p w14:paraId="162F59C8" w14:textId="1C3C6269" w:rsidR="00272EBA" w:rsidRDefault="00272EBA">
      <w:pPr>
        <w:pStyle w:val="FootnoteText"/>
      </w:pPr>
      <w:r>
        <w:rPr>
          <w:rStyle w:val="FootnoteReference"/>
        </w:rPr>
        <w:footnoteRef/>
      </w:r>
      <w:r>
        <w:t xml:space="preserve"> IHD 5.8.2025, s. 82.</w:t>
      </w:r>
    </w:p>
  </w:footnote>
  <w:footnote w:id="73">
    <w:p w14:paraId="724B80FE" w14:textId="6F4754C2" w:rsidR="002C43C7" w:rsidRPr="002A1856" w:rsidRDefault="002C43C7">
      <w:pPr>
        <w:pStyle w:val="FootnoteText"/>
      </w:pPr>
      <w:r>
        <w:rPr>
          <w:rStyle w:val="FootnoteReference"/>
        </w:rPr>
        <w:footnoteRef/>
      </w:r>
      <w:r w:rsidRPr="002A1856">
        <w:t xml:space="preserve"> </w:t>
      </w:r>
      <w:r w:rsidR="00D41367" w:rsidRPr="002A1856">
        <w:t>IHD 14.</w:t>
      </w:r>
      <w:r w:rsidR="00BA7F5C" w:rsidRPr="002A1856">
        <w:t>11</w:t>
      </w:r>
      <w:r w:rsidR="00D41367" w:rsidRPr="002A1856">
        <w:t>.2025,</w:t>
      </w:r>
      <w:r w:rsidRPr="002A1856">
        <w:t xml:space="preserve"> s. 6.</w:t>
      </w:r>
    </w:p>
  </w:footnote>
  <w:footnote w:id="74">
    <w:p w14:paraId="122003E0" w14:textId="0CB1BC71" w:rsidR="00C6532D" w:rsidRPr="002A1856" w:rsidRDefault="00C6532D">
      <w:pPr>
        <w:pStyle w:val="FootnoteText"/>
      </w:pPr>
      <w:r>
        <w:rPr>
          <w:rStyle w:val="FootnoteReference"/>
        </w:rPr>
        <w:footnoteRef/>
      </w:r>
      <w:r w:rsidRPr="002A1856">
        <w:t xml:space="preserve"> IHD 5.8.2025, s. 47.</w:t>
      </w:r>
    </w:p>
  </w:footnote>
  <w:footnote w:id="75">
    <w:p w14:paraId="505639C3" w14:textId="0AE95271" w:rsidR="00672699" w:rsidRPr="00672699" w:rsidRDefault="00672699">
      <w:pPr>
        <w:pStyle w:val="FootnoteText"/>
        <w:rPr>
          <w:lang w:val="en-US"/>
        </w:rPr>
      </w:pPr>
      <w:r>
        <w:rPr>
          <w:rStyle w:val="FootnoteReference"/>
        </w:rPr>
        <w:footnoteRef/>
      </w:r>
      <w:r w:rsidRPr="00672699">
        <w:rPr>
          <w:lang w:val="en-US"/>
        </w:rPr>
        <w:t xml:space="preserve"> UN </w:t>
      </w:r>
      <w:r w:rsidR="0086475E">
        <w:rPr>
          <w:lang w:val="en-US"/>
        </w:rPr>
        <w:t>c</w:t>
      </w:r>
      <w:r w:rsidRPr="00672699">
        <w:rPr>
          <w:lang w:val="en-US"/>
        </w:rPr>
        <w:t>ommittee against torture 14</w:t>
      </w:r>
      <w:r>
        <w:rPr>
          <w:lang w:val="en-US"/>
        </w:rPr>
        <w:t xml:space="preserve">.8.2024, s. 6, </w:t>
      </w:r>
      <w:proofErr w:type="spellStart"/>
      <w:r>
        <w:rPr>
          <w:lang w:val="en-US"/>
        </w:rPr>
        <w:t>kappale</w:t>
      </w:r>
      <w:proofErr w:type="spellEnd"/>
      <w:r>
        <w:rPr>
          <w:lang w:val="en-US"/>
        </w:rPr>
        <w:t xml:space="preserve"> 18.</w:t>
      </w:r>
    </w:p>
  </w:footnote>
  <w:footnote w:id="76">
    <w:p w14:paraId="33C4CC1C" w14:textId="09E9F8CF" w:rsidR="002439A7" w:rsidRPr="00672699" w:rsidRDefault="002439A7">
      <w:pPr>
        <w:pStyle w:val="FootnoteText"/>
        <w:rPr>
          <w:lang w:val="en-US"/>
        </w:rPr>
      </w:pPr>
      <w:r>
        <w:rPr>
          <w:rStyle w:val="FootnoteReference"/>
        </w:rPr>
        <w:footnoteRef/>
      </w:r>
      <w:r w:rsidRPr="00672699">
        <w:rPr>
          <w:lang w:val="en-US"/>
        </w:rPr>
        <w:t xml:space="preserve"> IHD 5.8.2025, s. 82.</w:t>
      </w:r>
    </w:p>
  </w:footnote>
  <w:footnote w:id="77">
    <w:p w14:paraId="2F835F10" w14:textId="679C3E37" w:rsidR="002A49E2" w:rsidRPr="00932C5A" w:rsidRDefault="002A49E2">
      <w:pPr>
        <w:pStyle w:val="FootnoteText"/>
        <w:rPr>
          <w:lang w:val="en-US"/>
        </w:rPr>
      </w:pPr>
      <w:r>
        <w:rPr>
          <w:rStyle w:val="FootnoteReference"/>
        </w:rPr>
        <w:footnoteRef/>
      </w:r>
      <w:r w:rsidRPr="00932C5A">
        <w:rPr>
          <w:lang w:val="en-US"/>
        </w:rPr>
        <w:t xml:space="preserve"> IHD 5.8.2025, s. 94.</w:t>
      </w:r>
    </w:p>
  </w:footnote>
  <w:footnote w:id="78">
    <w:p w14:paraId="150CFE37" w14:textId="1CBA155E" w:rsidR="0044662A" w:rsidRPr="0044662A" w:rsidRDefault="0044662A">
      <w:pPr>
        <w:pStyle w:val="FootnoteText"/>
        <w:rPr>
          <w:lang w:val="en-US"/>
        </w:rPr>
      </w:pPr>
      <w:r>
        <w:rPr>
          <w:rStyle w:val="FootnoteReference"/>
        </w:rPr>
        <w:footnoteRef/>
      </w:r>
      <w:r w:rsidRPr="0044662A">
        <w:rPr>
          <w:lang w:val="en-US"/>
        </w:rPr>
        <w:t xml:space="preserve"> UN Committee a</w:t>
      </w:r>
      <w:r>
        <w:rPr>
          <w:lang w:val="en-US"/>
        </w:rPr>
        <w:t xml:space="preserve">gainst torture 14.8.2024, s. 3, </w:t>
      </w:r>
      <w:proofErr w:type="spellStart"/>
      <w:r>
        <w:rPr>
          <w:lang w:val="en-US"/>
        </w:rPr>
        <w:t>kappale</w:t>
      </w:r>
      <w:proofErr w:type="spellEnd"/>
      <w:r>
        <w:rPr>
          <w:lang w:val="en-US"/>
        </w:rPr>
        <w:t xml:space="preserve"> 12.</w:t>
      </w:r>
    </w:p>
  </w:footnote>
  <w:footnote w:id="79">
    <w:p w14:paraId="51E3EBE7" w14:textId="56ACA23E" w:rsidR="001C7446" w:rsidRPr="0044662A" w:rsidRDefault="001C7446">
      <w:pPr>
        <w:pStyle w:val="FootnoteText"/>
        <w:rPr>
          <w:lang w:val="en-US"/>
        </w:rPr>
      </w:pPr>
      <w:r>
        <w:rPr>
          <w:rStyle w:val="FootnoteReference"/>
        </w:rPr>
        <w:footnoteRef/>
      </w:r>
      <w:r w:rsidRPr="0044662A">
        <w:rPr>
          <w:lang w:val="en-US"/>
        </w:rPr>
        <w:t xml:space="preserve"> IHD 5.8.2025, s. 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600" w:firstRow="0" w:lastRow="0" w:firstColumn="0" w:lastColumn="0" w:noHBand="1" w:noVBand="1"/>
    </w:tblPr>
    <w:tblGrid>
      <w:gridCol w:w="3005"/>
      <w:gridCol w:w="3005"/>
      <w:gridCol w:w="3006"/>
    </w:tblGrid>
    <w:tr w:rsidR="0064460B" w:rsidRPr="00A058E4" w14:paraId="7A1EE496" w14:textId="77777777" w:rsidTr="00110B17">
      <w:trPr>
        <w:tblHeader/>
      </w:trPr>
      <w:tc>
        <w:tcPr>
          <w:tcW w:w="3005" w:type="dxa"/>
          <w:tcBorders>
            <w:top w:val="nil"/>
            <w:left w:val="nil"/>
            <w:bottom w:val="nil"/>
            <w:right w:val="nil"/>
          </w:tcBorders>
        </w:tcPr>
        <w:p w14:paraId="5C176DD5" w14:textId="77777777" w:rsidR="0064460B" w:rsidRPr="00A058E4" w:rsidRDefault="0064460B">
          <w:pPr>
            <w:pStyle w:val="Header"/>
            <w:rPr>
              <w:sz w:val="16"/>
              <w:szCs w:val="16"/>
            </w:rPr>
          </w:pPr>
        </w:p>
      </w:tc>
      <w:tc>
        <w:tcPr>
          <w:tcW w:w="3005" w:type="dxa"/>
          <w:tcBorders>
            <w:top w:val="nil"/>
            <w:left w:val="nil"/>
            <w:bottom w:val="nil"/>
            <w:right w:val="nil"/>
          </w:tcBorders>
        </w:tcPr>
        <w:p w14:paraId="09DD7453" w14:textId="77777777" w:rsidR="0064460B" w:rsidRPr="00A058E4" w:rsidRDefault="0064460B">
          <w:pPr>
            <w:pStyle w:val="Header"/>
            <w:rPr>
              <w:b/>
              <w:sz w:val="16"/>
              <w:szCs w:val="16"/>
            </w:rPr>
          </w:pPr>
        </w:p>
      </w:tc>
      <w:tc>
        <w:tcPr>
          <w:tcW w:w="3006" w:type="dxa"/>
          <w:tcBorders>
            <w:top w:val="nil"/>
            <w:left w:val="nil"/>
            <w:bottom w:val="nil"/>
            <w:right w:val="nil"/>
          </w:tcBorders>
        </w:tcPr>
        <w:p w14:paraId="0FC455DE" w14:textId="77777777" w:rsidR="0064460B" w:rsidRPr="001D63F6" w:rsidRDefault="0064460B" w:rsidP="00A058E4">
          <w:pPr>
            <w:pStyle w:val="Header"/>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5546932B" w14:textId="77777777" w:rsidTr="00421708">
      <w:tc>
        <w:tcPr>
          <w:tcW w:w="3005" w:type="dxa"/>
          <w:tcBorders>
            <w:top w:val="nil"/>
            <w:left w:val="nil"/>
            <w:bottom w:val="nil"/>
            <w:right w:val="nil"/>
          </w:tcBorders>
        </w:tcPr>
        <w:p w14:paraId="0E343E83" w14:textId="77777777" w:rsidR="0064460B" w:rsidRPr="00A058E4" w:rsidRDefault="0064460B">
          <w:pPr>
            <w:pStyle w:val="Header"/>
            <w:rPr>
              <w:sz w:val="16"/>
              <w:szCs w:val="16"/>
            </w:rPr>
          </w:pPr>
        </w:p>
      </w:tc>
      <w:tc>
        <w:tcPr>
          <w:tcW w:w="3005" w:type="dxa"/>
          <w:tcBorders>
            <w:top w:val="nil"/>
            <w:left w:val="nil"/>
            <w:bottom w:val="nil"/>
            <w:right w:val="nil"/>
          </w:tcBorders>
        </w:tcPr>
        <w:p w14:paraId="054EF059" w14:textId="77777777" w:rsidR="0064460B" w:rsidRPr="00A058E4" w:rsidRDefault="0064460B">
          <w:pPr>
            <w:pStyle w:val="Header"/>
            <w:rPr>
              <w:sz w:val="16"/>
              <w:szCs w:val="16"/>
            </w:rPr>
          </w:pPr>
        </w:p>
      </w:tc>
      <w:tc>
        <w:tcPr>
          <w:tcW w:w="3006" w:type="dxa"/>
          <w:tcBorders>
            <w:top w:val="nil"/>
            <w:left w:val="nil"/>
            <w:bottom w:val="nil"/>
            <w:right w:val="nil"/>
          </w:tcBorders>
        </w:tcPr>
        <w:p w14:paraId="4067481F" w14:textId="77777777" w:rsidR="0064460B" w:rsidRPr="00A058E4" w:rsidRDefault="0064460B" w:rsidP="00A058E4">
          <w:pPr>
            <w:pStyle w:val="Header"/>
            <w:jc w:val="right"/>
            <w:rPr>
              <w:sz w:val="16"/>
              <w:szCs w:val="16"/>
            </w:rPr>
          </w:pPr>
        </w:p>
      </w:tc>
    </w:tr>
    <w:tr w:rsidR="0064460B" w:rsidRPr="00A058E4" w14:paraId="295E68C6" w14:textId="77777777" w:rsidTr="00421708">
      <w:tc>
        <w:tcPr>
          <w:tcW w:w="3005" w:type="dxa"/>
          <w:tcBorders>
            <w:top w:val="nil"/>
            <w:left w:val="nil"/>
            <w:bottom w:val="nil"/>
            <w:right w:val="nil"/>
          </w:tcBorders>
        </w:tcPr>
        <w:p w14:paraId="0F88C485" w14:textId="77777777" w:rsidR="0064460B" w:rsidRPr="00A058E4" w:rsidRDefault="0064460B">
          <w:pPr>
            <w:pStyle w:val="Header"/>
            <w:rPr>
              <w:sz w:val="16"/>
              <w:szCs w:val="16"/>
            </w:rPr>
          </w:pPr>
        </w:p>
      </w:tc>
      <w:tc>
        <w:tcPr>
          <w:tcW w:w="3005" w:type="dxa"/>
          <w:tcBorders>
            <w:top w:val="nil"/>
            <w:left w:val="nil"/>
            <w:bottom w:val="nil"/>
            <w:right w:val="nil"/>
          </w:tcBorders>
        </w:tcPr>
        <w:p w14:paraId="0CE7EB60" w14:textId="77777777" w:rsidR="0064460B" w:rsidRPr="00A058E4" w:rsidRDefault="0064460B">
          <w:pPr>
            <w:pStyle w:val="Header"/>
            <w:rPr>
              <w:sz w:val="16"/>
              <w:szCs w:val="16"/>
            </w:rPr>
          </w:pPr>
        </w:p>
      </w:tc>
      <w:tc>
        <w:tcPr>
          <w:tcW w:w="3006" w:type="dxa"/>
          <w:tcBorders>
            <w:top w:val="nil"/>
            <w:left w:val="nil"/>
            <w:bottom w:val="nil"/>
            <w:right w:val="nil"/>
          </w:tcBorders>
        </w:tcPr>
        <w:p w14:paraId="383D792C" w14:textId="77777777" w:rsidR="0064460B" w:rsidRPr="00A058E4" w:rsidRDefault="0064460B" w:rsidP="00A058E4">
          <w:pPr>
            <w:pStyle w:val="Header"/>
            <w:jc w:val="right"/>
            <w:rPr>
              <w:sz w:val="16"/>
              <w:szCs w:val="16"/>
            </w:rPr>
          </w:pPr>
        </w:p>
      </w:tc>
    </w:tr>
  </w:tbl>
  <w:p w14:paraId="25E63AF7" w14:textId="77777777" w:rsidR="0064460B" w:rsidRDefault="0064460B">
    <w:pPr>
      <w:pStyle w:val="Header"/>
    </w:pPr>
    <w:r>
      <w:rPr>
        <w:noProof/>
        <w:sz w:val="16"/>
        <w:szCs w:val="16"/>
        <w:lang w:eastAsia="fi-FI"/>
      </w:rPr>
      <w:drawing>
        <wp:anchor distT="0" distB="0" distL="114300" distR="114300" simplePos="0" relativeHeight="251680768" behindDoc="0" locked="0" layoutInCell="1" allowOverlap="1" wp14:anchorId="17450C9B" wp14:editId="4F015912">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873A37" w:rsidRPr="00A058E4" w14:paraId="795106DD" w14:textId="77777777" w:rsidTr="004B2B44">
      <w:tc>
        <w:tcPr>
          <w:tcW w:w="3005" w:type="dxa"/>
          <w:tcBorders>
            <w:top w:val="nil"/>
            <w:left w:val="nil"/>
            <w:bottom w:val="nil"/>
            <w:right w:val="nil"/>
          </w:tcBorders>
        </w:tcPr>
        <w:p w14:paraId="5F033AFE" w14:textId="77777777" w:rsidR="00873A37" w:rsidRPr="00A058E4" w:rsidRDefault="00873A37">
          <w:pPr>
            <w:pStyle w:val="Header"/>
            <w:rPr>
              <w:sz w:val="16"/>
              <w:szCs w:val="16"/>
            </w:rPr>
          </w:pPr>
        </w:p>
      </w:tc>
      <w:tc>
        <w:tcPr>
          <w:tcW w:w="3005" w:type="dxa"/>
          <w:tcBorders>
            <w:top w:val="nil"/>
            <w:left w:val="nil"/>
            <w:bottom w:val="nil"/>
            <w:right w:val="nil"/>
          </w:tcBorders>
        </w:tcPr>
        <w:p w14:paraId="19FB058E" w14:textId="77777777" w:rsidR="00873A37" w:rsidRPr="00A058E4" w:rsidRDefault="00873A37">
          <w:pPr>
            <w:pStyle w:val="Header"/>
            <w:rPr>
              <w:b/>
              <w:sz w:val="16"/>
              <w:szCs w:val="16"/>
            </w:rPr>
          </w:pPr>
        </w:p>
      </w:tc>
      <w:tc>
        <w:tcPr>
          <w:tcW w:w="3006" w:type="dxa"/>
          <w:tcBorders>
            <w:top w:val="nil"/>
            <w:left w:val="nil"/>
            <w:bottom w:val="nil"/>
            <w:right w:val="nil"/>
          </w:tcBorders>
        </w:tcPr>
        <w:p w14:paraId="4E10E5E9" w14:textId="77777777" w:rsidR="00873A37" w:rsidRPr="00A058E4" w:rsidRDefault="00873A37" w:rsidP="00A058E4">
          <w:pPr>
            <w:pStyle w:val="Header"/>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A019E52" w14:textId="77777777" w:rsidTr="004B2B44">
      <w:tc>
        <w:tcPr>
          <w:tcW w:w="3005" w:type="dxa"/>
          <w:tcBorders>
            <w:top w:val="nil"/>
            <w:left w:val="nil"/>
            <w:bottom w:val="nil"/>
            <w:right w:val="nil"/>
          </w:tcBorders>
        </w:tcPr>
        <w:p w14:paraId="348149B7" w14:textId="77777777" w:rsidR="00873A37" w:rsidRPr="00A058E4" w:rsidRDefault="00873A37">
          <w:pPr>
            <w:pStyle w:val="Header"/>
            <w:rPr>
              <w:sz w:val="16"/>
              <w:szCs w:val="16"/>
            </w:rPr>
          </w:pPr>
        </w:p>
      </w:tc>
      <w:tc>
        <w:tcPr>
          <w:tcW w:w="3005" w:type="dxa"/>
          <w:tcBorders>
            <w:top w:val="nil"/>
            <w:left w:val="nil"/>
            <w:bottom w:val="nil"/>
            <w:right w:val="nil"/>
          </w:tcBorders>
        </w:tcPr>
        <w:p w14:paraId="5EF5CE04" w14:textId="77777777" w:rsidR="00873A37" w:rsidRPr="00A058E4" w:rsidRDefault="00873A37">
          <w:pPr>
            <w:pStyle w:val="Header"/>
            <w:rPr>
              <w:sz w:val="16"/>
              <w:szCs w:val="16"/>
            </w:rPr>
          </w:pPr>
        </w:p>
      </w:tc>
      <w:tc>
        <w:tcPr>
          <w:tcW w:w="3006" w:type="dxa"/>
          <w:tcBorders>
            <w:top w:val="nil"/>
            <w:left w:val="nil"/>
            <w:bottom w:val="nil"/>
            <w:right w:val="nil"/>
          </w:tcBorders>
        </w:tcPr>
        <w:p w14:paraId="16ED55CF" w14:textId="77777777" w:rsidR="00873A37" w:rsidRPr="00A058E4" w:rsidRDefault="00873A37" w:rsidP="00A058E4">
          <w:pPr>
            <w:pStyle w:val="Header"/>
            <w:jc w:val="right"/>
            <w:rPr>
              <w:sz w:val="16"/>
              <w:szCs w:val="16"/>
            </w:rPr>
          </w:pPr>
        </w:p>
      </w:tc>
    </w:tr>
    <w:tr w:rsidR="00873A37" w:rsidRPr="00A058E4" w14:paraId="6F8B88D0" w14:textId="77777777" w:rsidTr="004B2B44">
      <w:tc>
        <w:tcPr>
          <w:tcW w:w="3005" w:type="dxa"/>
          <w:tcBorders>
            <w:top w:val="nil"/>
            <w:left w:val="nil"/>
            <w:bottom w:val="nil"/>
            <w:right w:val="nil"/>
          </w:tcBorders>
        </w:tcPr>
        <w:p w14:paraId="1B238B81" w14:textId="77777777" w:rsidR="00873A37" w:rsidRPr="00A058E4" w:rsidRDefault="00873A37">
          <w:pPr>
            <w:pStyle w:val="Header"/>
            <w:rPr>
              <w:sz w:val="16"/>
              <w:szCs w:val="16"/>
            </w:rPr>
          </w:pPr>
        </w:p>
      </w:tc>
      <w:tc>
        <w:tcPr>
          <w:tcW w:w="3005" w:type="dxa"/>
          <w:tcBorders>
            <w:top w:val="nil"/>
            <w:left w:val="nil"/>
            <w:bottom w:val="nil"/>
            <w:right w:val="nil"/>
          </w:tcBorders>
        </w:tcPr>
        <w:p w14:paraId="3DAB93ED" w14:textId="77777777" w:rsidR="00873A37" w:rsidRPr="00A058E4" w:rsidRDefault="00873A37">
          <w:pPr>
            <w:pStyle w:val="Header"/>
            <w:rPr>
              <w:sz w:val="16"/>
              <w:szCs w:val="16"/>
            </w:rPr>
          </w:pPr>
        </w:p>
      </w:tc>
      <w:tc>
        <w:tcPr>
          <w:tcW w:w="3006" w:type="dxa"/>
          <w:tcBorders>
            <w:top w:val="nil"/>
            <w:left w:val="nil"/>
            <w:bottom w:val="nil"/>
            <w:right w:val="nil"/>
          </w:tcBorders>
        </w:tcPr>
        <w:p w14:paraId="7A56D08C" w14:textId="77777777" w:rsidR="00873A37" w:rsidRPr="00A058E4" w:rsidRDefault="00873A37" w:rsidP="00A058E4">
          <w:pPr>
            <w:pStyle w:val="Header"/>
            <w:jc w:val="right"/>
            <w:rPr>
              <w:sz w:val="16"/>
              <w:szCs w:val="16"/>
            </w:rPr>
          </w:pPr>
        </w:p>
      </w:tc>
    </w:tr>
  </w:tbl>
  <w:p w14:paraId="570C7A70" w14:textId="77777777" w:rsidR="000455E3" w:rsidRPr="008020E6" w:rsidRDefault="00873A37" w:rsidP="00873A37">
    <w:pPr>
      <w:pStyle w:val="Header"/>
      <w:rPr>
        <w:sz w:val="16"/>
        <w:szCs w:val="16"/>
      </w:rPr>
    </w:pPr>
    <w:r>
      <w:rPr>
        <w:noProof/>
        <w:sz w:val="16"/>
        <w:szCs w:val="16"/>
        <w:lang w:eastAsia="fi-FI"/>
      </w:rPr>
      <w:drawing>
        <wp:anchor distT="0" distB="0" distL="114300" distR="114300" simplePos="0" relativeHeight="251682816" behindDoc="0" locked="0" layoutInCell="1" allowOverlap="1" wp14:anchorId="01C2DB50" wp14:editId="2B644263">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6C583454"/>
    <w:multiLevelType w:val="hybridMultilevel"/>
    <w:tmpl w:val="5C348E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DE"/>
    <w:rsid w:val="00010C97"/>
    <w:rsid w:val="000123FC"/>
    <w:rsid w:val="0001289F"/>
    <w:rsid w:val="00012EC0"/>
    <w:rsid w:val="00013B40"/>
    <w:rsid w:val="00013F3D"/>
    <w:rsid w:val="000140FF"/>
    <w:rsid w:val="00022D94"/>
    <w:rsid w:val="00023864"/>
    <w:rsid w:val="00023926"/>
    <w:rsid w:val="000449EA"/>
    <w:rsid w:val="000451BB"/>
    <w:rsid w:val="000455E3"/>
    <w:rsid w:val="00046783"/>
    <w:rsid w:val="000471FC"/>
    <w:rsid w:val="000564EB"/>
    <w:rsid w:val="000663E8"/>
    <w:rsid w:val="0007094E"/>
    <w:rsid w:val="00072438"/>
    <w:rsid w:val="00082DFE"/>
    <w:rsid w:val="0009323F"/>
    <w:rsid w:val="00097764"/>
    <w:rsid w:val="000A0824"/>
    <w:rsid w:val="000A65E8"/>
    <w:rsid w:val="000A7B0D"/>
    <w:rsid w:val="000B7ABB"/>
    <w:rsid w:val="000C32C1"/>
    <w:rsid w:val="000D45F8"/>
    <w:rsid w:val="000E1A4B"/>
    <w:rsid w:val="000E2D54"/>
    <w:rsid w:val="000E693C"/>
    <w:rsid w:val="000F4AD8"/>
    <w:rsid w:val="000F6F25"/>
    <w:rsid w:val="000F793B"/>
    <w:rsid w:val="001009E8"/>
    <w:rsid w:val="00101AAF"/>
    <w:rsid w:val="00105CBC"/>
    <w:rsid w:val="00110468"/>
    <w:rsid w:val="00110B17"/>
    <w:rsid w:val="00117EA9"/>
    <w:rsid w:val="00130BB1"/>
    <w:rsid w:val="00131B7A"/>
    <w:rsid w:val="001360E5"/>
    <w:rsid w:val="001366EE"/>
    <w:rsid w:val="00136FEB"/>
    <w:rsid w:val="00144604"/>
    <w:rsid w:val="00147B96"/>
    <w:rsid w:val="0015362E"/>
    <w:rsid w:val="00154A5F"/>
    <w:rsid w:val="001678AD"/>
    <w:rsid w:val="001741CB"/>
    <w:rsid w:val="001758C8"/>
    <w:rsid w:val="00184AEF"/>
    <w:rsid w:val="0019170D"/>
    <w:rsid w:val="0019524D"/>
    <w:rsid w:val="00195763"/>
    <w:rsid w:val="001A4752"/>
    <w:rsid w:val="001B2917"/>
    <w:rsid w:val="001B5A04"/>
    <w:rsid w:val="001B6B07"/>
    <w:rsid w:val="001B7F08"/>
    <w:rsid w:val="001C0382"/>
    <w:rsid w:val="001C3EB2"/>
    <w:rsid w:val="001C422A"/>
    <w:rsid w:val="001C7446"/>
    <w:rsid w:val="001D015C"/>
    <w:rsid w:val="001D1831"/>
    <w:rsid w:val="001D587F"/>
    <w:rsid w:val="001D5CAA"/>
    <w:rsid w:val="001D63F6"/>
    <w:rsid w:val="001E21A8"/>
    <w:rsid w:val="001F1B08"/>
    <w:rsid w:val="001F763F"/>
    <w:rsid w:val="00206DFC"/>
    <w:rsid w:val="002248A2"/>
    <w:rsid w:val="00224FD6"/>
    <w:rsid w:val="0022712B"/>
    <w:rsid w:val="002328E7"/>
    <w:rsid w:val="002350CB"/>
    <w:rsid w:val="00237C15"/>
    <w:rsid w:val="00240DCA"/>
    <w:rsid w:val="00241305"/>
    <w:rsid w:val="002439A7"/>
    <w:rsid w:val="00252F50"/>
    <w:rsid w:val="00253B21"/>
    <w:rsid w:val="0025481A"/>
    <w:rsid w:val="002571E9"/>
    <w:rsid w:val="002629C5"/>
    <w:rsid w:val="00267906"/>
    <w:rsid w:val="00267E88"/>
    <w:rsid w:val="00272907"/>
    <w:rsid w:val="00272D9D"/>
    <w:rsid w:val="00272EBA"/>
    <w:rsid w:val="00297301"/>
    <w:rsid w:val="002A1856"/>
    <w:rsid w:val="002A49E2"/>
    <w:rsid w:val="002A6054"/>
    <w:rsid w:val="002B4F5C"/>
    <w:rsid w:val="002B5DE1"/>
    <w:rsid w:val="002B5E48"/>
    <w:rsid w:val="002B6B53"/>
    <w:rsid w:val="002C2668"/>
    <w:rsid w:val="002C43C7"/>
    <w:rsid w:val="002C4FEA"/>
    <w:rsid w:val="002C656A"/>
    <w:rsid w:val="002D0032"/>
    <w:rsid w:val="002D70EF"/>
    <w:rsid w:val="002D7383"/>
    <w:rsid w:val="002E0B87"/>
    <w:rsid w:val="002E2129"/>
    <w:rsid w:val="002E3E5A"/>
    <w:rsid w:val="002E7DCF"/>
    <w:rsid w:val="002F3980"/>
    <w:rsid w:val="0030446C"/>
    <w:rsid w:val="003074F6"/>
    <w:rsid w:val="003077A4"/>
    <w:rsid w:val="003135FC"/>
    <w:rsid w:val="00313CBC"/>
    <w:rsid w:val="00313CBF"/>
    <w:rsid w:val="003167CD"/>
    <w:rsid w:val="003201C9"/>
    <w:rsid w:val="0032021E"/>
    <w:rsid w:val="003226F0"/>
    <w:rsid w:val="00327764"/>
    <w:rsid w:val="00335D68"/>
    <w:rsid w:val="0033622F"/>
    <w:rsid w:val="00337E76"/>
    <w:rsid w:val="00342A30"/>
    <w:rsid w:val="003430F7"/>
    <w:rsid w:val="00351B7D"/>
    <w:rsid w:val="00352B5B"/>
    <w:rsid w:val="00354BF2"/>
    <w:rsid w:val="0035772C"/>
    <w:rsid w:val="003673C0"/>
    <w:rsid w:val="00370E4F"/>
    <w:rsid w:val="00373713"/>
    <w:rsid w:val="00376326"/>
    <w:rsid w:val="00377AEB"/>
    <w:rsid w:val="0038473B"/>
    <w:rsid w:val="00385B1D"/>
    <w:rsid w:val="0039053B"/>
    <w:rsid w:val="00390DB7"/>
    <w:rsid w:val="0039232D"/>
    <w:rsid w:val="003964A3"/>
    <w:rsid w:val="00396B25"/>
    <w:rsid w:val="003976AD"/>
    <w:rsid w:val="003A2D68"/>
    <w:rsid w:val="003A711E"/>
    <w:rsid w:val="003B144B"/>
    <w:rsid w:val="003B3150"/>
    <w:rsid w:val="003C4049"/>
    <w:rsid w:val="003C5382"/>
    <w:rsid w:val="003D0AB9"/>
    <w:rsid w:val="003D2C7C"/>
    <w:rsid w:val="003D4732"/>
    <w:rsid w:val="003E03BD"/>
    <w:rsid w:val="003F0006"/>
    <w:rsid w:val="003F0057"/>
    <w:rsid w:val="003F5BFA"/>
    <w:rsid w:val="003F737F"/>
    <w:rsid w:val="00403CDE"/>
    <w:rsid w:val="00403DD8"/>
    <w:rsid w:val="004045B4"/>
    <w:rsid w:val="00410407"/>
    <w:rsid w:val="00414510"/>
    <w:rsid w:val="00414A61"/>
    <w:rsid w:val="0041667A"/>
    <w:rsid w:val="00421708"/>
    <w:rsid w:val="004221B0"/>
    <w:rsid w:val="00423E56"/>
    <w:rsid w:val="00430442"/>
    <w:rsid w:val="0043343B"/>
    <w:rsid w:val="0043717D"/>
    <w:rsid w:val="00440722"/>
    <w:rsid w:val="00445565"/>
    <w:rsid w:val="004460C6"/>
    <w:rsid w:val="0044662A"/>
    <w:rsid w:val="00446748"/>
    <w:rsid w:val="004468B5"/>
    <w:rsid w:val="00460ADC"/>
    <w:rsid w:val="0046269D"/>
    <w:rsid w:val="00465DC6"/>
    <w:rsid w:val="004662AC"/>
    <w:rsid w:val="004704D7"/>
    <w:rsid w:val="0047544F"/>
    <w:rsid w:val="00481EF0"/>
    <w:rsid w:val="00483E37"/>
    <w:rsid w:val="00486F23"/>
    <w:rsid w:val="004955B7"/>
    <w:rsid w:val="004A3E23"/>
    <w:rsid w:val="004B2B44"/>
    <w:rsid w:val="004B34E1"/>
    <w:rsid w:val="004C1C47"/>
    <w:rsid w:val="004C23F9"/>
    <w:rsid w:val="004D7499"/>
    <w:rsid w:val="004D74D0"/>
    <w:rsid w:val="004D76E3"/>
    <w:rsid w:val="004E598B"/>
    <w:rsid w:val="004F15C9"/>
    <w:rsid w:val="004F28FE"/>
    <w:rsid w:val="004F4078"/>
    <w:rsid w:val="00520CE7"/>
    <w:rsid w:val="005235BD"/>
    <w:rsid w:val="00525360"/>
    <w:rsid w:val="00527E87"/>
    <w:rsid w:val="00543B88"/>
    <w:rsid w:val="00543F66"/>
    <w:rsid w:val="00552E06"/>
    <w:rsid w:val="00554136"/>
    <w:rsid w:val="00554A7A"/>
    <w:rsid w:val="0055574C"/>
    <w:rsid w:val="0055582F"/>
    <w:rsid w:val="00555E75"/>
    <w:rsid w:val="00556532"/>
    <w:rsid w:val="0056613C"/>
    <w:rsid w:val="00566672"/>
    <w:rsid w:val="005719F7"/>
    <w:rsid w:val="005814A1"/>
    <w:rsid w:val="00583FE4"/>
    <w:rsid w:val="005974A4"/>
    <w:rsid w:val="005A309A"/>
    <w:rsid w:val="005A3D0A"/>
    <w:rsid w:val="005B00BB"/>
    <w:rsid w:val="005B3A3F"/>
    <w:rsid w:val="005B43F4"/>
    <w:rsid w:val="005B47D8"/>
    <w:rsid w:val="005B5597"/>
    <w:rsid w:val="005B6C91"/>
    <w:rsid w:val="005C123F"/>
    <w:rsid w:val="005C3A07"/>
    <w:rsid w:val="005D1938"/>
    <w:rsid w:val="005D3A33"/>
    <w:rsid w:val="005D7EB5"/>
    <w:rsid w:val="005E2BC1"/>
    <w:rsid w:val="005F163B"/>
    <w:rsid w:val="005F7321"/>
    <w:rsid w:val="005F7C75"/>
    <w:rsid w:val="0060063B"/>
    <w:rsid w:val="00601F27"/>
    <w:rsid w:val="00611BA6"/>
    <w:rsid w:val="00613331"/>
    <w:rsid w:val="00613ADA"/>
    <w:rsid w:val="00620595"/>
    <w:rsid w:val="00627C21"/>
    <w:rsid w:val="00633597"/>
    <w:rsid w:val="00633BBD"/>
    <w:rsid w:val="00634FEB"/>
    <w:rsid w:val="00636B3D"/>
    <w:rsid w:val="00636C1A"/>
    <w:rsid w:val="006406A6"/>
    <w:rsid w:val="0064460B"/>
    <w:rsid w:val="0064589F"/>
    <w:rsid w:val="00655C4C"/>
    <w:rsid w:val="00662B56"/>
    <w:rsid w:val="00662C52"/>
    <w:rsid w:val="00666FD6"/>
    <w:rsid w:val="00671041"/>
    <w:rsid w:val="00672699"/>
    <w:rsid w:val="00686CF3"/>
    <w:rsid w:val="0069181E"/>
    <w:rsid w:val="006A0D02"/>
    <w:rsid w:val="006A2F5D"/>
    <w:rsid w:val="006A4F5F"/>
    <w:rsid w:val="006A71A3"/>
    <w:rsid w:val="006B1508"/>
    <w:rsid w:val="006B3E85"/>
    <w:rsid w:val="006B4626"/>
    <w:rsid w:val="006C1EBD"/>
    <w:rsid w:val="006C3DCC"/>
    <w:rsid w:val="006C7A99"/>
    <w:rsid w:val="006D3068"/>
    <w:rsid w:val="006E3C97"/>
    <w:rsid w:val="006E6D1D"/>
    <w:rsid w:val="006E7D0B"/>
    <w:rsid w:val="006F0B7C"/>
    <w:rsid w:val="006F7401"/>
    <w:rsid w:val="007019DE"/>
    <w:rsid w:val="0070377D"/>
    <w:rsid w:val="0070596D"/>
    <w:rsid w:val="007168DA"/>
    <w:rsid w:val="007212A4"/>
    <w:rsid w:val="00723843"/>
    <w:rsid w:val="0073068A"/>
    <w:rsid w:val="0074104A"/>
    <w:rsid w:val="0074158A"/>
    <w:rsid w:val="00751EBB"/>
    <w:rsid w:val="00772240"/>
    <w:rsid w:val="00785D58"/>
    <w:rsid w:val="00796430"/>
    <w:rsid w:val="007A4556"/>
    <w:rsid w:val="007B284A"/>
    <w:rsid w:val="007B2D20"/>
    <w:rsid w:val="007C0049"/>
    <w:rsid w:val="007C057B"/>
    <w:rsid w:val="007C1151"/>
    <w:rsid w:val="007C25EB"/>
    <w:rsid w:val="007C26AF"/>
    <w:rsid w:val="007C3F42"/>
    <w:rsid w:val="007C4B6F"/>
    <w:rsid w:val="007C5BB2"/>
    <w:rsid w:val="007C6119"/>
    <w:rsid w:val="007E0069"/>
    <w:rsid w:val="007E1425"/>
    <w:rsid w:val="007E7B30"/>
    <w:rsid w:val="00800AA9"/>
    <w:rsid w:val="008020E6"/>
    <w:rsid w:val="00803B42"/>
    <w:rsid w:val="0080659D"/>
    <w:rsid w:val="00807CDE"/>
    <w:rsid w:val="00810134"/>
    <w:rsid w:val="008149D6"/>
    <w:rsid w:val="00826585"/>
    <w:rsid w:val="008350F0"/>
    <w:rsid w:val="00835734"/>
    <w:rsid w:val="0084029C"/>
    <w:rsid w:val="00845940"/>
    <w:rsid w:val="00851E3B"/>
    <w:rsid w:val="008571C0"/>
    <w:rsid w:val="008577D2"/>
    <w:rsid w:val="00860714"/>
    <w:rsid w:val="00860C12"/>
    <w:rsid w:val="0086475E"/>
    <w:rsid w:val="0087371C"/>
    <w:rsid w:val="00873A37"/>
    <w:rsid w:val="008755BF"/>
    <w:rsid w:val="008B2637"/>
    <w:rsid w:val="008B44DF"/>
    <w:rsid w:val="008B4C53"/>
    <w:rsid w:val="008C3171"/>
    <w:rsid w:val="008C3FF0"/>
    <w:rsid w:val="008C6A0E"/>
    <w:rsid w:val="008D3982"/>
    <w:rsid w:val="008E0129"/>
    <w:rsid w:val="008E1575"/>
    <w:rsid w:val="008F20FD"/>
    <w:rsid w:val="008F2AAB"/>
    <w:rsid w:val="008F48E3"/>
    <w:rsid w:val="0090479F"/>
    <w:rsid w:val="00905A00"/>
    <w:rsid w:val="00906442"/>
    <w:rsid w:val="009170B9"/>
    <w:rsid w:val="009230EE"/>
    <w:rsid w:val="00932C5A"/>
    <w:rsid w:val="00941FAB"/>
    <w:rsid w:val="00952982"/>
    <w:rsid w:val="00965A7A"/>
    <w:rsid w:val="00966541"/>
    <w:rsid w:val="00977BD4"/>
    <w:rsid w:val="00980F1C"/>
    <w:rsid w:val="00981808"/>
    <w:rsid w:val="00997BFA"/>
    <w:rsid w:val="009B42A2"/>
    <w:rsid w:val="009B606B"/>
    <w:rsid w:val="009C6740"/>
    <w:rsid w:val="009D26CC"/>
    <w:rsid w:val="009D44A2"/>
    <w:rsid w:val="009D54B3"/>
    <w:rsid w:val="009E0F44"/>
    <w:rsid w:val="009E3B08"/>
    <w:rsid w:val="009E3C92"/>
    <w:rsid w:val="00A04FF1"/>
    <w:rsid w:val="00A058E4"/>
    <w:rsid w:val="00A353F0"/>
    <w:rsid w:val="00A35BCB"/>
    <w:rsid w:val="00A44D0A"/>
    <w:rsid w:val="00A50FF4"/>
    <w:rsid w:val="00A522BB"/>
    <w:rsid w:val="00A569E1"/>
    <w:rsid w:val="00A57839"/>
    <w:rsid w:val="00A621DE"/>
    <w:rsid w:val="00A6466D"/>
    <w:rsid w:val="00A72CF4"/>
    <w:rsid w:val="00A74713"/>
    <w:rsid w:val="00A7678F"/>
    <w:rsid w:val="00A8295C"/>
    <w:rsid w:val="00A900EA"/>
    <w:rsid w:val="00A93B2D"/>
    <w:rsid w:val="00AC4346"/>
    <w:rsid w:val="00AC4FDE"/>
    <w:rsid w:val="00AC5E4B"/>
    <w:rsid w:val="00AE08A1"/>
    <w:rsid w:val="00AE21E8"/>
    <w:rsid w:val="00AE54AA"/>
    <w:rsid w:val="00AE6900"/>
    <w:rsid w:val="00AE7C7B"/>
    <w:rsid w:val="00AF03BC"/>
    <w:rsid w:val="00AF19E8"/>
    <w:rsid w:val="00AF2960"/>
    <w:rsid w:val="00AF51F3"/>
    <w:rsid w:val="00B0234C"/>
    <w:rsid w:val="00B07C42"/>
    <w:rsid w:val="00B07D4D"/>
    <w:rsid w:val="00B112B8"/>
    <w:rsid w:val="00B11B6D"/>
    <w:rsid w:val="00B33381"/>
    <w:rsid w:val="00B37882"/>
    <w:rsid w:val="00B41557"/>
    <w:rsid w:val="00B444A1"/>
    <w:rsid w:val="00B52170"/>
    <w:rsid w:val="00B529CE"/>
    <w:rsid w:val="00B52A4D"/>
    <w:rsid w:val="00B52DD7"/>
    <w:rsid w:val="00B5307C"/>
    <w:rsid w:val="00B61C45"/>
    <w:rsid w:val="00B65278"/>
    <w:rsid w:val="00B66CEF"/>
    <w:rsid w:val="00B70293"/>
    <w:rsid w:val="00B7440B"/>
    <w:rsid w:val="00B763D8"/>
    <w:rsid w:val="00B82B1F"/>
    <w:rsid w:val="00B936F7"/>
    <w:rsid w:val="00B96A72"/>
    <w:rsid w:val="00BA2164"/>
    <w:rsid w:val="00BA49E3"/>
    <w:rsid w:val="00BA7F5C"/>
    <w:rsid w:val="00BB0B29"/>
    <w:rsid w:val="00BB785D"/>
    <w:rsid w:val="00BB7F45"/>
    <w:rsid w:val="00BC1CB7"/>
    <w:rsid w:val="00BC250D"/>
    <w:rsid w:val="00BC367A"/>
    <w:rsid w:val="00BE0837"/>
    <w:rsid w:val="00BE2067"/>
    <w:rsid w:val="00BE2758"/>
    <w:rsid w:val="00BE608B"/>
    <w:rsid w:val="00BE7E5C"/>
    <w:rsid w:val="00BF744C"/>
    <w:rsid w:val="00C06A16"/>
    <w:rsid w:val="00C06FCB"/>
    <w:rsid w:val="00C1035E"/>
    <w:rsid w:val="00C112FB"/>
    <w:rsid w:val="00C113C5"/>
    <w:rsid w:val="00C1302F"/>
    <w:rsid w:val="00C16602"/>
    <w:rsid w:val="00C25F4A"/>
    <w:rsid w:val="00C267CF"/>
    <w:rsid w:val="00C312C8"/>
    <w:rsid w:val="00C348A3"/>
    <w:rsid w:val="00C40C80"/>
    <w:rsid w:val="00C45AEE"/>
    <w:rsid w:val="00C540F4"/>
    <w:rsid w:val="00C56E53"/>
    <w:rsid w:val="00C577C2"/>
    <w:rsid w:val="00C57BD1"/>
    <w:rsid w:val="00C6532D"/>
    <w:rsid w:val="00C747DB"/>
    <w:rsid w:val="00C90D86"/>
    <w:rsid w:val="00C94FC7"/>
    <w:rsid w:val="00C95A8B"/>
    <w:rsid w:val="00CC25B9"/>
    <w:rsid w:val="00CC3CAE"/>
    <w:rsid w:val="00CC4DE4"/>
    <w:rsid w:val="00CE17DE"/>
    <w:rsid w:val="00CE26C7"/>
    <w:rsid w:val="00CF712C"/>
    <w:rsid w:val="00D130E2"/>
    <w:rsid w:val="00D152E0"/>
    <w:rsid w:val="00D171E5"/>
    <w:rsid w:val="00D205C8"/>
    <w:rsid w:val="00D24D52"/>
    <w:rsid w:val="00D321BE"/>
    <w:rsid w:val="00D33747"/>
    <w:rsid w:val="00D37291"/>
    <w:rsid w:val="00D41367"/>
    <w:rsid w:val="00D47232"/>
    <w:rsid w:val="00D60911"/>
    <w:rsid w:val="00D61956"/>
    <w:rsid w:val="00D6472E"/>
    <w:rsid w:val="00D67F46"/>
    <w:rsid w:val="00D724F3"/>
    <w:rsid w:val="00D80CF9"/>
    <w:rsid w:val="00D85581"/>
    <w:rsid w:val="00D9216D"/>
    <w:rsid w:val="00D93433"/>
    <w:rsid w:val="00D9702B"/>
    <w:rsid w:val="00DB1E92"/>
    <w:rsid w:val="00DB256D"/>
    <w:rsid w:val="00DC1073"/>
    <w:rsid w:val="00DC5480"/>
    <w:rsid w:val="00DC565C"/>
    <w:rsid w:val="00DC6CD6"/>
    <w:rsid w:val="00DC729C"/>
    <w:rsid w:val="00DD0451"/>
    <w:rsid w:val="00DD2A80"/>
    <w:rsid w:val="00DD42AB"/>
    <w:rsid w:val="00DE1C15"/>
    <w:rsid w:val="00DE216F"/>
    <w:rsid w:val="00DE3B87"/>
    <w:rsid w:val="00DF436D"/>
    <w:rsid w:val="00DF4C39"/>
    <w:rsid w:val="00DF7484"/>
    <w:rsid w:val="00E002A5"/>
    <w:rsid w:val="00E0146F"/>
    <w:rsid w:val="00E01537"/>
    <w:rsid w:val="00E03874"/>
    <w:rsid w:val="00E100BE"/>
    <w:rsid w:val="00E100D8"/>
    <w:rsid w:val="00E10F4B"/>
    <w:rsid w:val="00E13B17"/>
    <w:rsid w:val="00E15EE7"/>
    <w:rsid w:val="00E26A76"/>
    <w:rsid w:val="00E37B7C"/>
    <w:rsid w:val="00E424D1"/>
    <w:rsid w:val="00E42B9C"/>
    <w:rsid w:val="00E44896"/>
    <w:rsid w:val="00E502BC"/>
    <w:rsid w:val="00E5437B"/>
    <w:rsid w:val="00E61ADE"/>
    <w:rsid w:val="00E61B04"/>
    <w:rsid w:val="00E6371A"/>
    <w:rsid w:val="00E64CFC"/>
    <w:rsid w:val="00E66BD8"/>
    <w:rsid w:val="00E830C6"/>
    <w:rsid w:val="00E85D86"/>
    <w:rsid w:val="00E9185D"/>
    <w:rsid w:val="00E9529F"/>
    <w:rsid w:val="00E96091"/>
    <w:rsid w:val="00EA211A"/>
    <w:rsid w:val="00EA4FE4"/>
    <w:rsid w:val="00EB031A"/>
    <w:rsid w:val="00EB0BB5"/>
    <w:rsid w:val="00EB347C"/>
    <w:rsid w:val="00EB6C6D"/>
    <w:rsid w:val="00EC45CF"/>
    <w:rsid w:val="00ED148F"/>
    <w:rsid w:val="00ED2392"/>
    <w:rsid w:val="00EF6FCF"/>
    <w:rsid w:val="00F04424"/>
    <w:rsid w:val="00F04AE6"/>
    <w:rsid w:val="00F059E9"/>
    <w:rsid w:val="00F24CAB"/>
    <w:rsid w:val="00F27972"/>
    <w:rsid w:val="00F40646"/>
    <w:rsid w:val="00F43553"/>
    <w:rsid w:val="00F50B13"/>
    <w:rsid w:val="00F61D61"/>
    <w:rsid w:val="00F64A6C"/>
    <w:rsid w:val="00F75550"/>
    <w:rsid w:val="00F80E1F"/>
    <w:rsid w:val="00F81E6B"/>
    <w:rsid w:val="00F82F9C"/>
    <w:rsid w:val="00F83A39"/>
    <w:rsid w:val="00F84814"/>
    <w:rsid w:val="00F85E19"/>
    <w:rsid w:val="00F90ED9"/>
    <w:rsid w:val="00F937B6"/>
    <w:rsid w:val="00F9400E"/>
    <w:rsid w:val="00FA3476"/>
    <w:rsid w:val="00FA3D11"/>
    <w:rsid w:val="00FA4D55"/>
    <w:rsid w:val="00FA6918"/>
    <w:rsid w:val="00FB0239"/>
    <w:rsid w:val="00FB090D"/>
    <w:rsid w:val="00FB4752"/>
    <w:rsid w:val="00FB6468"/>
    <w:rsid w:val="00FC0084"/>
    <w:rsid w:val="00FC6822"/>
    <w:rsid w:val="00FE77F5"/>
    <w:rsid w:val="00FF0F92"/>
    <w:rsid w:val="00FF1FE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D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873A37"/>
    <w:pPr>
      <w:spacing w:before="160" w:line="260" w:lineRule="exact"/>
      <w:jc w:val="both"/>
    </w:pPr>
    <w:rPr>
      <w:rFonts w:ascii="Century Gothic" w:hAnsi="Century Gothic"/>
      <w:sz w:val="20"/>
    </w:rPr>
  </w:style>
  <w:style w:type="paragraph" w:styleId="Heading1">
    <w:name w:val="heading 1"/>
    <w:basedOn w:val="Normal"/>
    <w:next w:val="Normal"/>
    <w:link w:val="Heading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Heading3">
    <w:name w:val="heading 3"/>
    <w:basedOn w:val="Normal"/>
    <w:next w:val="Normal"/>
    <w:link w:val="Heading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Heading4">
    <w:name w:val="heading 4"/>
    <w:basedOn w:val="Normal"/>
    <w:next w:val="LeiptekstiMigri"/>
    <w:link w:val="Heading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F66"/>
    <w:rPr>
      <w:rFonts w:ascii="Century Gothic" w:eastAsiaTheme="majorEastAsia" w:hAnsi="Century Gothic" w:cstheme="majorBidi"/>
      <w:b/>
      <w:color w:val="000000" w:themeColor="text1"/>
      <w:sz w:val="28"/>
      <w:szCs w:val="32"/>
    </w:rPr>
  </w:style>
  <w:style w:type="character" w:customStyle="1" w:styleId="Heading2Char">
    <w:name w:val="Heading 2 Char"/>
    <w:basedOn w:val="DefaultParagraphFont"/>
    <w:link w:val="Heading2"/>
    <w:uiPriority w:val="9"/>
    <w:rsid w:val="00DE3B87"/>
    <w:rPr>
      <w:rFonts w:ascii="Century Gothic" w:eastAsiaTheme="majorEastAsia" w:hAnsi="Century Gothic" w:cstheme="majorHAnsi"/>
      <w:b/>
      <w:color w:val="000000" w:themeColor="text1"/>
      <w:sz w:val="28"/>
      <w:szCs w:val="26"/>
    </w:rPr>
  </w:style>
  <w:style w:type="character" w:customStyle="1" w:styleId="Heading3Char">
    <w:name w:val="Heading 3 Char"/>
    <w:basedOn w:val="DefaultParagraphFont"/>
    <w:link w:val="Heading3"/>
    <w:uiPriority w:val="9"/>
    <w:rsid w:val="00633597"/>
    <w:rPr>
      <w:rFonts w:ascii="Century Gothic" w:eastAsiaTheme="majorEastAsia" w:hAnsi="Century Gothic" w:cstheme="majorBidi"/>
      <w:b/>
      <w:color w:val="000000" w:themeColor="text1"/>
      <w:sz w:val="24"/>
      <w:szCs w:val="24"/>
    </w:rPr>
  </w:style>
  <w:style w:type="paragraph" w:styleId="Title">
    <w:name w:val="Title"/>
    <w:basedOn w:val="Normal"/>
    <w:next w:val="Normal"/>
    <w:link w:val="Title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E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E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069"/>
    <w:rPr>
      <w:rFonts w:ascii="Century Gothic" w:hAnsi="Century Gothic"/>
      <w:sz w:val="20"/>
    </w:rPr>
  </w:style>
  <w:style w:type="paragraph" w:styleId="Footer">
    <w:name w:val="footer"/>
    <w:basedOn w:val="Normal"/>
    <w:link w:val="FooterChar"/>
    <w:uiPriority w:val="99"/>
    <w:unhideWhenUsed/>
    <w:rsid w:val="007E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069"/>
    <w:rPr>
      <w:rFonts w:ascii="Century Gothic" w:hAnsi="Century Gothic"/>
      <w:sz w:val="20"/>
    </w:rPr>
  </w:style>
  <w:style w:type="paragraph" w:styleId="BalloonText">
    <w:name w:val="Balloon Text"/>
    <w:basedOn w:val="Normal"/>
    <w:link w:val="BalloonTextChar"/>
    <w:uiPriority w:val="99"/>
    <w:semiHidden/>
    <w:unhideWhenUsed/>
    <w:rsid w:val="007E0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69"/>
    <w:rPr>
      <w:rFonts w:ascii="Segoe UI" w:hAnsi="Segoe UI" w:cs="Segoe UI"/>
      <w:sz w:val="18"/>
      <w:szCs w:val="18"/>
    </w:rPr>
  </w:style>
  <w:style w:type="table" w:styleId="TableGrid">
    <w:name w:val="Table Grid"/>
    <w:basedOn w:val="TableNormal"/>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l"/>
    <w:link w:val="LeiptekstiMigriChar"/>
    <w:rsid w:val="00117EA9"/>
    <w:pPr>
      <w:spacing w:before="120" w:after="120" w:line="240" w:lineRule="auto"/>
      <w:ind w:left="1440"/>
    </w:pPr>
  </w:style>
  <w:style w:type="paragraph" w:styleId="ListParagraph">
    <w:name w:val="List Paragraph"/>
    <w:basedOn w:val="Normal"/>
    <w:uiPriority w:val="34"/>
    <w:rsid w:val="0074158A"/>
    <w:pPr>
      <w:ind w:left="720"/>
      <w:contextualSpacing/>
    </w:pPr>
  </w:style>
  <w:style w:type="character" w:customStyle="1" w:styleId="Heading4Char">
    <w:name w:val="Heading 4 Char"/>
    <w:basedOn w:val="DefaultParagraphFont"/>
    <w:link w:val="Heading4"/>
    <w:uiPriority w:val="9"/>
    <w:rsid w:val="00633597"/>
    <w:rPr>
      <w:rFonts w:ascii="Century Gothic" w:eastAsiaTheme="majorEastAsia" w:hAnsi="Century Gothic" w:cstheme="majorBidi"/>
      <w:b/>
      <w:iCs/>
      <w:color w:val="000000" w:themeColor="text1"/>
      <w:sz w:val="20"/>
    </w:rPr>
  </w:style>
  <w:style w:type="paragraph" w:styleId="Caption">
    <w:name w:val="caption"/>
    <w:aliases w:val="Quote"/>
    <w:basedOn w:val="Normal"/>
    <w:next w:val="Normal"/>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Heading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PageNumber">
    <w:name w:val="page number"/>
    <w:basedOn w:val="DefaultParagraphFont"/>
    <w:rsid w:val="00803B42"/>
  </w:style>
  <w:style w:type="paragraph" w:customStyle="1" w:styleId="POTSIKKO">
    <w:name w:val="PÄÄOTSIKKO"/>
    <w:basedOn w:val="Heading1"/>
    <w:next w:val="Normal"/>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l"/>
    <w:next w:val="LeiptekstiMigri"/>
    <w:uiPriority w:val="11"/>
    <w:qFormat/>
    <w:rsid w:val="00FB090D"/>
    <w:pPr>
      <w:spacing w:after="240"/>
    </w:pPr>
    <w:rPr>
      <w:i/>
      <w:sz w:val="16"/>
    </w:rPr>
  </w:style>
  <w:style w:type="paragraph" w:customStyle="1" w:styleId="Otsikko2numerolla">
    <w:name w:val="Otsikko 2 numerolla"/>
    <w:basedOn w:val="Heading2"/>
    <w:link w:val="Otsikko2numerollaChar"/>
    <w:uiPriority w:val="11"/>
    <w:rsid w:val="006F0B7C"/>
    <w:pPr>
      <w:numPr>
        <w:numId w:val="10"/>
      </w:numPr>
    </w:pPr>
    <w:rPr>
      <w:rFonts w:eastAsiaTheme="minorHAnsi"/>
    </w:rPr>
  </w:style>
  <w:style w:type="paragraph" w:customStyle="1" w:styleId="Otsikko3numerolla">
    <w:name w:val="Otsikko 3 numerolla"/>
    <w:basedOn w:val="Heading3"/>
    <w:link w:val="Otsikko3numerollaChar"/>
    <w:uiPriority w:val="11"/>
    <w:rsid w:val="006F0B7C"/>
    <w:pPr>
      <w:numPr>
        <w:ilvl w:val="0"/>
        <w:numId w:val="15"/>
      </w:numPr>
    </w:pPr>
  </w:style>
  <w:style w:type="character" w:customStyle="1" w:styleId="Otsikko2numerollaChar">
    <w:name w:val="Otsikko 2 numerolla Char"/>
    <w:basedOn w:val="Heading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Heading3Char"/>
    <w:link w:val="Otsikko3numerolla"/>
    <w:uiPriority w:val="11"/>
    <w:rsid w:val="006F0B7C"/>
    <w:rPr>
      <w:rFonts w:ascii="Century Gothic" w:eastAsiaTheme="majorEastAsia" w:hAnsi="Century Gothic" w:cstheme="majorBidi"/>
      <w:b/>
      <w:color w:val="000000" w:themeColor="text1"/>
      <w:sz w:val="24"/>
      <w:szCs w:val="24"/>
    </w:rPr>
  </w:style>
  <w:style w:type="paragraph" w:styleId="TOC1">
    <w:name w:val="toc 1"/>
    <w:basedOn w:val="Normal"/>
    <w:next w:val="Normal"/>
    <w:autoRedefine/>
    <w:uiPriority w:val="39"/>
    <w:unhideWhenUsed/>
    <w:rsid w:val="00D171E5"/>
    <w:pPr>
      <w:spacing w:after="100"/>
    </w:pPr>
  </w:style>
  <w:style w:type="paragraph" w:styleId="TOC3">
    <w:name w:val="toc 3"/>
    <w:basedOn w:val="Normal"/>
    <w:next w:val="Normal"/>
    <w:autoRedefine/>
    <w:uiPriority w:val="39"/>
    <w:unhideWhenUsed/>
    <w:rsid w:val="00D171E5"/>
    <w:pPr>
      <w:spacing w:after="100"/>
      <w:ind w:left="400"/>
    </w:pPr>
  </w:style>
  <w:style w:type="paragraph" w:styleId="TOC4">
    <w:name w:val="toc 4"/>
    <w:basedOn w:val="Normal"/>
    <w:next w:val="Normal"/>
    <w:autoRedefine/>
    <w:uiPriority w:val="39"/>
    <w:unhideWhenUsed/>
    <w:rsid w:val="00D171E5"/>
    <w:pPr>
      <w:spacing w:after="100"/>
      <w:ind w:left="600"/>
    </w:pPr>
  </w:style>
  <w:style w:type="character" w:styleId="Hyperlink">
    <w:name w:val="Hyperlink"/>
    <w:basedOn w:val="DefaultParagraphFont"/>
    <w:uiPriority w:val="99"/>
    <w:unhideWhenUsed/>
    <w:rsid w:val="00D171E5"/>
    <w:rPr>
      <w:color w:val="0563C1" w:themeColor="hyperlink"/>
      <w:u w:val="single"/>
    </w:rPr>
  </w:style>
  <w:style w:type="character" w:styleId="PlaceholderText">
    <w:name w:val="Placeholder Text"/>
    <w:basedOn w:val="DefaultParagraphFont"/>
    <w:uiPriority w:val="99"/>
    <w:semiHidden/>
    <w:rsid w:val="00082DFE"/>
    <w:rPr>
      <w:color w:val="808080"/>
    </w:rPr>
  </w:style>
  <w:style w:type="paragraph" w:styleId="Quote">
    <w:name w:val="Quote"/>
    <w:basedOn w:val="Normal"/>
    <w:next w:val="Normal"/>
    <w:link w:val="QuoteChar"/>
    <w:uiPriority w:val="29"/>
    <w:rsid w:val="00082D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2DFE"/>
    <w:rPr>
      <w:rFonts w:ascii="Century Gothic" w:hAnsi="Century Gothic"/>
      <w:i/>
      <w:iCs/>
      <w:color w:val="404040" w:themeColor="text1" w:themeTint="BF"/>
      <w:sz w:val="20"/>
    </w:rPr>
  </w:style>
  <w:style w:type="character" w:styleId="Emphasis">
    <w:name w:val="Emphasis"/>
    <w:basedOn w:val="DefaultParagraphFont"/>
    <w:uiPriority w:val="20"/>
    <w:rsid w:val="001D63F6"/>
    <w:rPr>
      <w:i/>
      <w:iCs/>
    </w:rPr>
  </w:style>
  <w:style w:type="character" w:styleId="Strong">
    <w:name w:val="Strong"/>
    <w:basedOn w:val="DefaultParagraphFont"/>
    <w:uiPriority w:val="22"/>
    <w:rsid w:val="001D63F6"/>
    <w:rPr>
      <w:b/>
      <w:bCs/>
    </w:rPr>
  </w:style>
  <w:style w:type="paragraph" w:styleId="FootnoteText">
    <w:name w:val="footnote text"/>
    <w:basedOn w:val="Normal"/>
    <w:link w:val="FootnoteTextChar"/>
    <w:uiPriority w:val="99"/>
    <w:semiHidden/>
    <w:unhideWhenUsed/>
    <w:rsid w:val="00873A3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873A37"/>
    <w:rPr>
      <w:rFonts w:ascii="Century Gothic" w:hAnsi="Century Gothic"/>
      <w:sz w:val="20"/>
      <w:szCs w:val="20"/>
    </w:rPr>
  </w:style>
  <w:style w:type="character" w:styleId="FootnoteReference">
    <w:name w:val="footnote reference"/>
    <w:basedOn w:val="DefaultParagraphFont"/>
    <w:uiPriority w:val="99"/>
    <w:unhideWhenUsed/>
    <w:rsid w:val="00873A37"/>
    <w:rPr>
      <w:rFonts w:ascii="Century Gothic" w:hAnsi="Century Gothic"/>
      <w:sz w:val="20"/>
      <w:vertAlign w:val="superscript"/>
    </w:rPr>
  </w:style>
  <w:style w:type="character" w:customStyle="1" w:styleId="Tyyli1">
    <w:name w:val="Tyyli1"/>
    <w:basedOn w:val="Strong"/>
    <w:uiPriority w:val="1"/>
    <w:rsid w:val="00BC367A"/>
    <w:rPr>
      <w:b/>
      <w:bCs/>
      <w:sz w:val="16"/>
    </w:rPr>
  </w:style>
  <w:style w:type="character" w:styleId="UnresolvedMention">
    <w:name w:val="Unresolved Mention"/>
    <w:basedOn w:val="DefaultParagraphFont"/>
    <w:uiPriority w:val="99"/>
    <w:semiHidden/>
    <w:unhideWhenUsed/>
    <w:rsid w:val="008B44DF"/>
    <w:rPr>
      <w:color w:val="605E5C"/>
      <w:shd w:val="clear" w:color="auto" w:fill="E1DFDD"/>
    </w:rPr>
  </w:style>
  <w:style w:type="character" w:customStyle="1" w:styleId="Heading5Char">
    <w:name w:val="Heading 5 Char"/>
    <w:basedOn w:val="DefaultParagraphFont"/>
    <w:link w:val="Heading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DefaultParagraphFont"/>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l"/>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DefaultParagraphFont"/>
    <w:link w:val="Kysymykset"/>
    <w:uiPriority w:val="11"/>
    <w:rsid w:val="001741CB"/>
    <w:rPr>
      <w:rFonts w:ascii="Century Gothic" w:hAnsi="Century Gothic"/>
      <w:color w:val="000000" w:themeColor="text1"/>
      <w:sz w:val="20"/>
    </w:rPr>
  </w:style>
  <w:style w:type="paragraph" w:customStyle="1" w:styleId="Otsikko11">
    <w:name w:val="Otsikko 11"/>
    <w:basedOn w:val="Normal"/>
    <w:rsid w:val="00A8295C"/>
    <w:pPr>
      <w:numPr>
        <w:numId w:val="18"/>
      </w:numPr>
    </w:pPr>
  </w:style>
  <w:style w:type="paragraph" w:customStyle="1" w:styleId="Otsikko21">
    <w:name w:val="Otsikko 21"/>
    <w:basedOn w:val="Normal"/>
    <w:rsid w:val="00A8295C"/>
    <w:pPr>
      <w:numPr>
        <w:ilvl w:val="1"/>
        <w:numId w:val="18"/>
      </w:numPr>
    </w:pPr>
  </w:style>
  <w:style w:type="paragraph" w:customStyle="1" w:styleId="Otsikko31">
    <w:name w:val="Otsikko 31"/>
    <w:basedOn w:val="Normal"/>
    <w:rsid w:val="00A8295C"/>
    <w:pPr>
      <w:numPr>
        <w:ilvl w:val="2"/>
        <w:numId w:val="18"/>
      </w:numPr>
    </w:pPr>
  </w:style>
  <w:style w:type="paragraph" w:customStyle="1" w:styleId="Otsikko41">
    <w:name w:val="Otsikko 41"/>
    <w:basedOn w:val="Normal"/>
    <w:rsid w:val="00A8295C"/>
    <w:pPr>
      <w:numPr>
        <w:ilvl w:val="3"/>
        <w:numId w:val="18"/>
      </w:numPr>
    </w:pPr>
  </w:style>
  <w:style w:type="paragraph" w:customStyle="1" w:styleId="Otsikko51">
    <w:name w:val="Otsikko 51"/>
    <w:basedOn w:val="Normal"/>
    <w:rsid w:val="00A8295C"/>
    <w:pPr>
      <w:numPr>
        <w:ilvl w:val="4"/>
        <w:numId w:val="18"/>
      </w:numPr>
    </w:pPr>
  </w:style>
  <w:style w:type="paragraph" w:customStyle="1" w:styleId="Otsikko61">
    <w:name w:val="Otsikko 61"/>
    <w:basedOn w:val="Normal"/>
    <w:rsid w:val="00A8295C"/>
    <w:pPr>
      <w:numPr>
        <w:ilvl w:val="5"/>
        <w:numId w:val="18"/>
      </w:numPr>
    </w:pPr>
  </w:style>
  <w:style w:type="paragraph" w:customStyle="1" w:styleId="Otsikko71">
    <w:name w:val="Otsikko 71"/>
    <w:basedOn w:val="Normal"/>
    <w:rsid w:val="00A8295C"/>
    <w:pPr>
      <w:numPr>
        <w:ilvl w:val="6"/>
        <w:numId w:val="18"/>
      </w:numPr>
    </w:pPr>
  </w:style>
  <w:style w:type="paragraph" w:customStyle="1" w:styleId="Otsikko81">
    <w:name w:val="Otsikko 81"/>
    <w:basedOn w:val="Normal"/>
    <w:rsid w:val="00A8295C"/>
    <w:pPr>
      <w:numPr>
        <w:ilvl w:val="7"/>
        <w:numId w:val="18"/>
      </w:numPr>
    </w:pPr>
  </w:style>
  <w:style w:type="paragraph" w:customStyle="1" w:styleId="Otsikko91">
    <w:name w:val="Otsikko 91"/>
    <w:basedOn w:val="Normal"/>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l"/>
    <w:link w:val="PotsikkoChar0"/>
    <w:uiPriority w:val="11"/>
    <w:rsid w:val="00A8295C"/>
    <w:rPr>
      <w:rFonts w:eastAsiaTheme="minorHAnsi" w:cstheme="minorHAnsi"/>
      <w:color w:val="auto"/>
      <w:spacing w:val="0"/>
      <w:szCs w:val="22"/>
    </w:rPr>
  </w:style>
  <w:style w:type="character" w:customStyle="1" w:styleId="POTSIKKOChar">
    <w:name w:val="PÄÄOTSIKKO Char"/>
    <w:basedOn w:val="Heading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CommentReference">
    <w:name w:val="annotation reference"/>
    <w:basedOn w:val="DefaultParagraphFont"/>
    <w:uiPriority w:val="99"/>
    <w:semiHidden/>
    <w:unhideWhenUsed/>
    <w:rsid w:val="00FA3D11"/>
    <w:rPr>
      <w:sz w:val="16"/>
      <w:szCs w:val="16"/>
    </w:rPr>
  </w:style>
  <w:style w:type="paragraph" w:styleId="CommentText">
    <w:name w:val="annotation text"/>
    <w:basedOn w:val="Normal"/>
    <w:link w:val="CommentTextChar"/>
    <w:uiPriority w:val="99"/>
    <w:unhideWhenUsed/>
    <w:rsid w:val="00FA3D11"/>
    <w:pPr>
      <w:spacing w:line="240" w:lineRule="auto"/>
    </w:pPr>
    <w:rPr>
      <w:szCs w:val="20"/>
    </w:rPr>
  </w:style>
  <w:style w:type="character" w:customStyle="1" w:styleId="CommentTextChar">
    <w:name w:val="Comment Text Char"/>
    <w:basedOn w:val="DefaultParagraphFont"/>
    <w:link w:val="CommentText"/>
    <w:uiPriority w:val="99"/>
    <w:rsid w:val="00FA3D11"/>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FA3D11"/>
    <w:rPr>
      <w:b/>
      <w:bCs/>
    </w:rPr>
  </w:style>
  <w:style w:type="character" w:customStyle="1" w:styleId="CommentSubjectChar">
    <w:name w:val="Comment Subject Char"/>
    <w:basedOn w:val="CommentTextChar"/>
    <w:link w:val="CommentSubject"/>
    <w:uiPriority w:val="99"/>
    <w:semiHidden/>
    <w:rsid w:val="00FA3D11"/>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d.org.tr/2024-yili-insan-haklari-ihlalleri-raporu/" TargetMode="External"/><Relationship Id="rId13" Type="http://schemas.openxmlformats.org/officeDocument/2006/relationships/hyperlink" Target="https://www.omct.org/site-resources/files/factsheets/Factsheet-Turkiye-EN.pdf" TargetMode="External"/><Relationship Id="rId18" Type="http://schemas.openxmlformats.org/officeDocument/2006/relationships/hyperlink" Target="https://tihv.org.tr/tedavi-ve-rehabilitasyon-raporlari/2024-tedavi-ve-rehabilitasyon-merkezleri-raporu/"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nordicmonitor.com/2025/09/turkeys-prison-population-reaches-historic-high-under-erdogans-rule/" TargetMode="External"/><Relationship Id="rId17" Type="http://schemas.openxmlformats.org/officeDocument/2006/relationships/hyperlink" Target="https://mgm.adalet.gov.tr/Resimler/SayfaDokuman/171020191133565275%20say%C4%B1l%C4%B1%20CEZA%20VE%20G%C3%9CVENL%C4%B0K%20TEDB%C4%B0RLER%C4%B0N%C4%B0N%20%C4%B0NFAZI%20HAKKINDA%20KANUN.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nodc.org/cld/uploads/res/document/tur/penal-code_html/Penal_Code_of_Turkiye.pdf" TargetMode="External"/><Relationship Id="rId20" Type="http://schemas.openxmlformats.org/officeDocument/2006/relationships/header" Target="header1.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just.org/wp-content/uploads/2026/01/Kurdish-Monitoring-2025-Annual-Report.pdf"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hhgm.adalet.gov.tr/Resimler/SayfaDokuman/1442020173449Ceza_I%CC%87nfaz_7242%20Say%C4%B1l%C4%B1%20Kanun.pdf"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s://justicesquare.org/turkish-prisons-report/" TargetMode="External"/><Relationship Id="rId19" Type="http://schemas.openxmlformats.org/officeDocument/2006/relationships/hyperlink" Target="https://digitallibrary.un.org/record/4059747?v=pdf" TargetMode="External"/><Relationship Id="rId4" Type="http://schemas.openxmlformats.org/officeDocument/2006/relationships/settings" Target="settings.xml"/><Relationship Id="rId9" Type="http://schemas.openxmlformats.org/officeDocument/2006/relationships/hyperlink" Target="https://www.ihd.org.tr/wp-content/uploads/2025/08/2024-Y%C4%B1l%C4%B1-Hapishane-Raporu-1.pdf" TargetMode="External"/><Relationship Id="rId14" Type="http://schemas.openxmlformats.org/officeDocument/2006/relationships/hyperlink" Target="https://turkeyrightsmonitor.com/en/prison-rights-violations" TargetMode="External"/><Relationship Id="rId22" Type="http://schemas.openxmlformats.org/officeDocument/2006/relationships/footer" Target="footer1.xml"/><Relationship Id="rId27" Type="http://schemas.openxmlformats.org/officeDocument/2006/relationships/customXml" Target="../customXml/item3.xml"/><Relationship Id="rId30" Type="http://schemas.openxmlformats.org/officeDocument/2006/relationships/customXml" Target="../customXml/item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3456BE083E4CD89781505F99F577C1"/>
        <w:category>
          <w:name w:val="Yleiset"/>
          <w:gallery w:val="placeholder"/>
        </w:category>
        <w:types>
          <w:type w:val="bbPlcHdr"/>
        </w:types>
        <w:behaviors>
          <w:behavior w:val="content"/>
        </w:behaviors>
        <w:guid w:val="{498A630E-CE29-4074-88EA-F3A413279ECC}"/>
      </w:docPartPr>
      <w:docPartBody>
        <w:p w:rsidR="00193A97" w:rsidRDefault="00E74C7F">
          <w:pPr>
            <w:pStyle w:val="DF3456BE083E4CD89781505F99F577C1"/>
          </w:pPr>
          <w:r w:rsidRPr="00AA10D2">
            <w:rPr>
              <w:rStyle w:val="PlaceholderText"/>
            </w:rPr>
            <w:t>Kirjoita tekstiä napsauttamalla tai napauttamalla tätä.</w:t>
          </w:r>
        </w:p>
      </w:docPartBody>
    </w:docPart>
    <w:docPart>
      <w:docPartPr>
        <w:name w:val="B68B1FB7AB2F480D97CB1C144BBE9D81"/>
        <w:category>
          <w:name w:val="Yleiset"/>
          <w:gallery w:val="placeholder"/>
        </w:category>
        <w:types>
          <w:type w:val="bbPlcHdr"/>
        </w:types>
        <w:behaviors>
          <w:behavior w:val="content"/>
        </w:behaviors>
        <w:guid w:val="{491B99AE-BC68-41EE-A674-3CAA3CEDDC97}"/>
      </w:docPartPr>
      <w:docPartBody>
        <w:p w:rsidR="00193A97" w:rsidRDefault="00E74C7F">
          <w:pPr>
            <w:pStyle w:val="B68B1FB7AB2F480D97CB1C144BBE9D81"/>
          </w:pPr>
          <w:r w:rsidRPr="00AA10D2">
            <w:rPr>
              <w:rStyle w:val="PlaceholderText"/>
            </w:rPr>
            <w:t>Kirjoita tekstiä napsauttamalla tai napauttamalla tätä.</w:t>
          </w:r>
        </w:p>
      </w:docPartBody>
    </w:docPart>
    <w:docPart>
      <w:docPartPr>
        <w:name w:val="EC90B39B3B9B49F983C5C8CF60C9D1F7"/>
        <w:category>
          <w:name w:val="Yleiset"/>
          <w:gallery w:val="placeholder"/>
        </w:category>
        <w:types>
          <w:type w:val="bbPlcHdr"/>
        </w:types>
        <w:behaviors>
          <w:behavior w:val="content"/>
        </w:behaviors>
        <w:guid w:val="{EF9C2AC3-95EF-464E-BBB0-033772B17C97}"/>
      </w:docPartPr>
      <w:docPartBody>
        <w:p w:rsidR="00193A97" w:rsidRDefault="00E74C7F">
          <w:pPr>
            <w:pStyle w:val="EC90B39B3B9B49F983C5C8CF60C9D1F7"/>
          </w:pPr>
          <w:r w:rsidRPr="00810134">
            <w:rPr>
              <w:rStyle w:val="PlaceholderText"/>
              <w:lang w:val="en-GB"/>
            </w:rPr>
            <w:t>.</w:t>
          </w:r>
        </w:p>
      </w:docPartBody>
    </w:docPart>
    <w:docPart>
      <w:docPartPr>
        <w:name w:val="1259FF838DA44E469D7E6C75EC69F00F"/>
        <w:category>
          <w:name w:val="Yleiset"/>
          <w:gallery w:val="placeholder"/>
        </w:category>
        <w:types>
          <w:type w:val="bbPlcHdr"/>
        </w:types>
        <w:behaviors>
          <w:behavior w:val="content"/>
        </w:behaviors>
        <w:guid w:val="{4197FC37-2C4D-4677-8E8C-957F25807BB2}"/>
      </w:docPartPr>
      <w:docPartBody>
        <w:p w:rsidR="00193A97" w:rsidRDefault="00E74C7F">
          <w:pPr>
            <w:pStyle w:val="1259FF838DA44E469D7E6C75EC69F00F"/>
          </w:pPr>
          <w:r w:rsidRPr="00AA10D2">
            <w:rPr>
              <w:rStyle w:val="PlaceholderText"/>
            </w:rPr>
            <w:t>Kirjoita tekstiä napsauttamalla tai napauttamalla tätä.</w:t>
          </w:r>
        </w:p>
      </w:docPartBody>
    </w:docPart>
    <w:docPart>
      <w:docPartPr>
        <w:name w:val="0A72F4B307DB4695842253808709EB46"/>
        <w:category>
          <w:name w:val="Yleiset"/>
          <w:gallery w:val="placeholder"/>
        </w:category>
        <w:types>
          <w:type w:val="bbPlcHdr"/>
        </w:types>
        <w:behaviors>
          <w:behavior w:val="content"/>
        </w:behaviors>
        <w:guid w:val="{1CD2F5A0-19A7-48AD-9CA1-F6A73BF4EDB1}"/>
      </w:docPartPr>
      <w:docPartBody>
        <w:p w:rsidR="00193A97" w:rsidRDefault="00E74C7F">
          <w:pPr>
            <w:pStyle w:val="0A72F4B307DB4695842253808709EB46"/>
          </w:pPr>
          <w:r w:rsidRPr="00AA10D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7F"/>
    <w:rsid w:val="0009767A"/>
    <w:rsid w:val="00193A97"/>
    <w:rsid w:val="0036296D"/>
    <w:rsid w:val="0059270C"/>
    <w:rsid w:val="006956B6"/>
    <w:rsid w:val="00BB2460"/>
    <w:rsid w:val="00CF0B61"/>
    <w:rsid w:val="00E74C7F"/>
    <w:rsid w:val="00EE2AFD"/>
    <w:rsid w:val="00FB689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F3456BE083E4CD89781505F99F577C1">
    <w:name w:val="DF3456BE083E4CD89781505F99F577C1"/>
  </w:style>
  <w:style w:type="paragraph" w:customStyle="1" w:styleId="B68B1FB7AB2F480D97CB1C144BBE9D81">
    <w:name w:val="B68B1FB7AB2F480D97CB1C144BBE9D81"/>
  </w:style>
  <w:style w:type="paragraph" w:customStyle="1" w:styleId="EC90B39B3B9B49F983C5C8CF60C9D1F7">
    <w:name w:val="EC90B39B3B9B49F983C5C8CF60C9D1F7"/>
  </w:style>
  <w:style w:type="paragraph" w:customStyle="1" w:styleId="1259FF838DA44E469D7E6C75EC69F00F">
    <w:name w:val="1259FF838DA44E469D7E6C75EC69F00F"/>
  </w:style>
  <w:style w:type="paragraph" w:customStyle="1" w:styleId="0A72F4B307DB4695842253808709EB46">
    <w:name w:val="0A72F4B307DB4695842253808709E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PRISONS,PRISON CONDITIONS,PAROLE PERIOD,INFRINGEMENTS,TORTURE,KURDS,HEALTH CARE,WOMEN,LGBT,PUNISHMENTS,IMPRISONMENT,CRIMINALS,ETHNIC GROUPS,ETHNIC DISCRIMINATION,PUBLIC AUTHORITIES,ATHEISM,FORGERIES,CRIMINAL CODE</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Turkey</TermName>
          <TermId xmlns="http://schemas.microsoft.com/office/infopath/2007/PartnerControls">df83b433-2dd9-4963-901b-8adea03d6f1e</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2026-05-26T22:00:00+00:00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20</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106</Value>
    </COIDocOriginCountry>
    <COIDocLanguage xmlns="e235e197-502c-49f1-8696-39d199cd5131">10</COIDocLanguage>
    <COIDocTags xmlns="e235e197-502c-49f1-8696-39d199cd5131"/>
    <COIDocLevel xmlns="b5be3156-7e14-46bc-bfca-5c242eb3de3f">Public</COIDocLevel>
    <COIDocAbstract xmlns="b5be3156-7e14-46bc-bfca-5c242eb3de3f" xsi:nil="true"/>
    <COIWSGroundsRejection xmlns="b5be3156-7e14-46bc-bfca-5c242eb3de3f" xsi:nil="true"/>
    <COIDocAuthors xmlns="e235e197-502c-49f1-8696-39d199cd5131">
      <Value>143</Value>
    </COIDocAuthors>
    <COIDocID xmlns="b5be3156-7e14-46bc-bfca-5c242eb3de3f">1059</COIDocID>
    <_dlc_DocId xmlns="e235e197-502c-49f1-8696-39d199cd5131">FI011-215589946-13015</_dlc_DocId>
    <_dlc_DocIdUrl xmlns="e235e197-502c-49f1-8696-39d199cd5131">
      <Url>https://coiadmin.euaa.europa.eu/administration/finland/_layouts/15/DocIdRedir.aspx?ID=FI011-215589946-13015</Url>
      <Description>FI011-215589946-13015</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197BD642-9414-4DF5-9A63-A8E44F5A8B74}"/>
</file>

<file path=customXml/itemProps3.xml><?xml version="1.0" encoding="utf-8"?>
<ds:datastoreItem xmlns:ds="http://schemas.openxmlformats.org/officeDocument/2006/customXml" ds:itemID="{FBE540A9-7EA9-47EA-A823-57EB21625245}"/>
</file>

<file path=customXml/itemProps4.xml><?xml version="1.0" encoding="utf-8"?>
<ds:datastoreItem xmlns:ds="http://schemas.openxmlformats.org/officeDocument/2006/customXml" ds:itemID="{9974CFFC-ED60-4B45-9A17-B1B123FE4ECE}"/>
</file>

<file path=customXml/itemProps5.xml><?xml version="1.0" encoding="utf-8"?>
<ds:datastoreItem xmlns:ds="http://schemas.openxmlformats.org/officeDocument/2006/customXml" ds:itemID="{9198B3F2-03E3-44DD-810F-8B496FEDCD3F}"/>
</file>

<file path=customXml/itemProps6.xml><?xml version="1.0" encoding="utf-8"?>
<ds:datastoreItem xmlns:ds="http://schemas.openxmlformats.org/officeDocument/2006/customXml" ds:itemID="{0297A415-31EC-41F7-B1C8-C67A577761B2}"/>
</file>

<file path=docProps/app.xml><?xml version="1.0" encoding="utf-8"?>
<Properties xmlns="http://schemas.openxmlformats.org/officeDocument/2006/extended-properties" xmlns:vt="http://schemas.openxmlformats.org/officeDocument/2006/docPropsVTypes">
  <Template>Maatietopalvelu kyselyvastaus</Template>
  <TotalTime>0</TotalTime>
  <Pages>15</Pages>
  <Words>5059</Words>
  <Characters>40978</Characters>
  <Application>Microsoft Office Word</Application>
  <DocSecurity>0</DocSecurity>
  <Lines>341</Lines>
  <Paragraphs>91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45946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Turkki / Rangaistuslaitoksen määräytyminen, suoritettava rangaistus ja vankilaolosuhteet ns. tavallisille vangeille // Türkiye / Determination of the correctional facility, the sentence to be served, and prison conditions for so-called ordinary inmates</dc:title>
  <dc:creator/>
  <cp:lastModifiedBy/>
  <cp:revision>1</cp:revision>
  <dcterms:created xsi:type="dcterms:W3CDTF">2026-05-27T12:21:00Z</dcterms:created>
  <dcterms:modified xsi:type="dcterms:W3CDTF">2026-05-27T12:21:00Z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4d80d21b-098a-4521-ab50-ddf8f0697676</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20;#Turkey|df83b433-2dd9-4963-901b-8adea03d6f1e</vt:lpwstr>
  </property>
  <property fmtid="{D5CDD505-2E9C-101B-9397-08002B2CF9AE}" pid="9" name="COIInformTypeMM">
    <vt:lpwstr>4;#Response to COI Query|74af11f0-82c2-4825-bd8f-d6b1cac3a3aa</vt:lpwstr>
  </property>
</Properties>
</file>