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44D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905B54F"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B09834B" w14:textId="0D080BA6" w:rsidR="00800AA9" w:rsidRPr="00D03766" w:rsidRDefault="00800AA9" w:rsidP="00C348A3">
      <w:pPr>
        <w:spacing w:before="0" w:after="0"/>
      </w:pPr>
      <w:r w:rsidRPr="00D03766">
        <w:rPr>
          <w:b/>
        </w:rPr>
        <w:t>Asiakirjan tunnus:</w:t>
      </w:r>
      <w:r w:rsidRPr="00D03766">
        <w:t xml:space="preserve"> KT</w:t>
      </w:r>
      <w:r w:rsidR="00D03766" w:rsidRPr="00D03766">
        <w:t>1279</w:t>
      </w:r>
    </w:p>
    <w:p w14:paraId="66FECE27" w14:textId="0498F248" w:rsidR="00800AA9" w:rsidRPr="00D03766" w:rsidRDefault="00800AA9" w:rsidP="00C348A3">
      <w:pPr>
        <w:spacing w:before="0" w:after="0"/>
      </w:pPr>
      <w:r w:rsidRPr="00D03766">
        <w:rPr>
          <w:b/>
        </w:rPr>
        <w:t>Päivämäärä</w:t>
      </w:r>
      <w:r w:rsidRPr="00D03766">
        <w:t xml:space="preserve">: </w:t>
      </w:r>
      <w:r w:rsidR="00D9109D" w:rsidRPr="00D03766">
        <w:t>1</w:t>
      </w:r>
      <w:r w:rsidR="00DD2ADE">
        <w:t>8</w:t>
      </w:r>
      <w:r w:rsidR="00810134" w:rsidRPr="00D03766">
        <w:t>.</w:t>
      </w:r>
      <w:r w:rsidR="00D9109D" w:rsidRPr="00D03766">
        <w:t>3</w:t>
      </w:r>
      <w:r w:rsidR="00810134" w:rsidRPr="00D03766">
        <w:t>.</w:t>
      </w:r>
      <w:r w:rsidR="00D9109D" w:rsidRPr="00D03766">
        <w:t>2026</w:t>
      </w:r>
    </w:p>
    <w:p w14:paraId="58379C63" w14:textId="0A6A27D6" w:rsidR="00800AA9" w:rsidRPr="00800AA9" w:rsidRDefault="00800AA9" w:rsidP="00C348A3">
      <w:pPr>
        <w:spacing w:before="0"/>
        <w:rPr>
          <w:rStyle w:val="Otsikko1Char"/>
          <w:rFonts w:eastAsiaTheme="minorHAnsi" w:cstheme="minorHAnsi"/>
          <w:b w:val="0"/>
          <w:color w:val="auto"/>
          <w:sz w:val="20"/>
          <w:szCs w:val="22"/>
        </w:rPr>
      </w:pPr>
      <w:r w:rsidRPr="00D03766">
        <w:rPr>
          <w:b/>
        </w:rPr>
        <w:t>Julkisuus:</w:t>
      </w:r>
      <w:r w:rsidRPr="00D03766">
        <w:t xml:space="preserve"> Julkinen</w:t>
      </w:r>
      <w:r>
        <w:t xml:space="preserve"> </w:t>
      </w:r>
    </w:p>
    <w:p w14:paraId="68776338" w14:textId="77777777" w:rsidR="00800AA9" w:rsidRPr="00633BBD" w:rsidRDefault="004316F2" w:rsidP="00800AA9">
      <w:pPr>
        <w:rPr>
          <w:rStyle w:val="Otsikko1Char"/>
          <w:b w:val="0"/>
          <w:sz w:val="20"/>
          <w:szCs w:val="20"/>
        </w:rPr>
      </w:pPr>
      <w:r>
        <w:rPr>
          <w:b/>
        </w:rPr>
        <w:pict w14:anchorId="12A1FD9E">
          <v:rect id="_x0000_i1026" style="width:0;height:1.5pt" o:hralign="center" o:hrstd="t" o:hr="t" fillcolor="#a0a0a0" stroked="f"/>
        </w:pict>
      </w:r>
    </w:p>
    <w:p w14:paraId="472652B4" w14:textId="557958A3" w:rsidR="008020E6" w:rsidRPr="00403322" w:rsidRDefault="004316F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54301A7AA774380933A97BDDCF442DA"/>
          </w:placeholder>
          <w:text/>
        </w:sdtPr>
        <w:sdtEndPr>
          <w:rPr>
            <w:rStyle w:val="Otsikko1Char"/>
          </w:rPr>
        </w:sdtEndPr>
        <w:sdtContent>
          <w:r w:rsidR="009778BB" w:rsidRPr="00403322">
            <w:rPr>
              <w:rStyle w:val="Otsikko1Char"/>
              <w:rFonts w:cs="Times New Roman"/>
              <w:b/>
              <w:szCs w:val="24"/>
            </w:rPr>
            <w:t>Georgia</w:t>
          </w:r>
          <w:r w:rsidR="00543F66" w:rsidRPr="00403322">
            <w:rPr>
              <w:rStyle w:val="Otsikko1Char"/>
              <w:rFonts w:cs="Times New Roman"/>
              <w:b/>
              <w:szCs w:val="24"/>
            </w:rPr>
            <w:t xml:space="preserve"> /</w:t>
          </w:r>
          <w:r w:rsidR="00403322" w:rsidRPr="00403322">
            <w:rPr>
              <w:rStyle w:val="Otsikko1Char"/>
              <w:rFonts w:cs="Times New Roman"/>
              <w:b/>
              <w:szCs w:val="24"/>
            </w:rPr>
            <w:t xml:space="preserve"> Poliittinen tilanne, turvallisuustilanne, i</w:t>
          </w:r>
          <w:r w:rsidR="00403322">
            <w:rPr>
              <w:rStyle w:val="Otsikko1Char"/>
              <w:rFonts w:cs="Times New Roman"/>
              <w:b/>
              <w:szCs w:val="24"/>
            </w:rPr>
            <w:t>hmisoikeusrikkomukset, oikeusvaltion tilanne, viranomaissuojelun saatavuus, ilmaisun- ja mielipiteenvapaus</w:t>
          </w:r>
        </w:sdtContent>
      </w:sdt>
    </w:p>
    <w:sdt>
      <w:sdtPr>
        <w:rPr>
          <w:rStyle w:val="Otsikko1Char"/>
          <w:rFonts w:cs="Times New Roman"/>
          <w:b/>
          <w:szCs w:val="24"/>
          <w:lang w:val="en-US"/>
        </w:rPr>
        <w:alias w:val="Country / Title in English"/>
        <w:tag w:val="Country / Title in English"/>
        <w:id w:val="2146699517"/>
        <w:lock w:val="sdtLocked"/>
        <w:placeholder>
          <w:docPart w:val="A6F78414E1E14EA1ABCA6FF4E434F2E2"/>
        </w:placeholder>
        <w:text/>
      </w:sdtPr>
      <w:sdtEndPr>
        <w:rPr>
          <w:rStyle w:val="Otsikko1Char"/>
        </w:rPr>
      </w:sdtEndPr>
      <w:sdtContent>
        <w:p w14:paraId="243FAACB" w14:textId="23DEC746" w:rsidR="00082DFE" w:rsidRPr="00403322" w:rsidRDefault="00D9109D" w:rsidP="00543F66">
          <w:pPr>
            <w:pStyle w:val="POTSIKKO"/>
            <w:rPr>
              <w:lang w:val="en-US"/>
            </w:rPr>
          </w:pPr>
          <w:r w:rsidRPr="00D9109D">
            <w:rPr>
              <w:rStyle w:val="Otsikko1Char"/>
              <w:rFonts w:cs="Times New Roman"/>
              <w:b/>
              <w:szCs w:val="24"/>
              <w:lang w:val="en-US"/>
            </w:rPr>
            <w:t>Georgia / Political situation, security situation, human rights violations, rule of law, access to state protection, freedom of expression and opinion</w:t>
          </w:r>
        </w:p>
      </w:sdtContent>
    </w:sdt>
    <w:p w14:paraId="3987FAB3" w14:textId="77777777" w:rsidR="00082DFE" w:rsidRDefault="004316F2" w:rsidP="00082DFE">
      <w:pPr>
        <w:rPr>
          <w:b/>
        </w:rPr>
      </w:pPr>
      <w:r>
        <w:rPr>
          <w:b/>
        </w:rPr>
        <w:pict w14:anchorId="6B8B4C7F">
          <v:rect id="_x0000_i1027" style="width:0;height:1.5pt" o:hralign="center" o:hrstd="t" o:hr="t" fillcolor="#a0a0a0" stroked="f"/>
        </w:pict>
      </w:r>
    </w:p>
    <w:p w14:paraId="30A96D69"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BD11B0BDFF74B4E9C22F239C9633D4D"/>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97E5EA7848C245D091707A27233B0BF3"/>
            </w:placeholder>
            <w:text w:multiLine="1"/>
          </w:sdtPr>
          <w:sdtEndPr>
            <w:rPr>
              <w:rStyle w:val="KysymyksetChar"/>
            </w:rPr>
          </w:sdtEndPr>
          <w:sdtContent>
            <w:p w14:paraId="6ED71A73" w14:textId="51DB1C76" w:rsidR="00810134" w:rsidRPr="001678AD" w:rsidRDefault="00B6171C" w:rsidP="001678AD">
              <w:pPr>
                <w:pStyle w:val="Lainaus"/>
                <w:ind w:left="0"/>
                <w:jc w:val="left"/>
                <w:rPr>
                  <w:i w:val="0"/>
                  <w:iCs w:val="0"/>
                  <w:color w:val="000000" w:themeColor="text1"/>
                </w:rPr>
              </w:pPr>
              <w:r w:rsidRPr="00B6171C">
                <w:rPr>
                  <w:rStyle w:val="KysymyksetChar"/>
                </w:rPr>
                <w:t>1. Millainen on Georgian yleinen poliittinen tilanne?</w:t>
              </w:r>
              <w:r w:rsidRPr="00B6171C">
                <w:rPr>
                  <w:rStyle w:val="KysymyksetChar"/>
                </w:rPr>
                <w:br/>
                <w:t>2. Millainen on Georgian turvallisuustilanne?</w:t>
              </w:r>
              <w:r w:rsidRPr="00B6171C">
                <w:rPr>
                  <w:rStyle w:val="KysymyksetChar"/>
                </w:rPr>
                <w:br/>
                <w:t>3. Millaisia ihmisoikeusrikkomuksia Georgiassa on raportoitu?</w:t>
              </w:r>
              <w:r w:rsidRPr="00B6171C">
                <w:rPr>
                  <w:rStyle w:val="KysymyksetChar"/>
                </w:rPr>
                <w:br/>
                <w:t>4. Millainen on Georgian oikeusvaltion tilanne ja viranomaissuojelun saatavuus?</w:t>
              </w:r>
              <w:r w:rsidRPr="00B6171C">
                <w:rPr>
                  <w:rStyle w:val="KysymyksetChar"/>
                </w:rPr>
                <w:br/>
                <w:t>5.</w:t>
              </w:r>
              <w:r>
                <w:rPr>
                  <w:rStyle w:val="KysymyksetChar"/>
                </w:rPr>
                <w:t xml:space="preserve"> </w:t>
              </w:r>
              <w:r w:rsidRPr="00B6171C">
                <w:rPr>
                  <w:rStyle w:val="KysymyksetChar"/>
                </w:rPr>
                <w:t>Millainen on Georgian ilmaisun- ja mielipiteenvapauden tilanne?</w:t>
              </w:r>
            </w:p>
          </w:sdtContent>
        </w:sdt>
      </w:sdtContent>
    </w:sdt>
    <w:p w14:paraId="4D1EAEA7" w14:textId="77777777" w:rsidR="00082DFE" w:rsidRPr="00D03766" w:rsidRDefault="00082DFE" w:rsidP="00C348A3">
      <w:pPr>
        <w:pStyle w:val="Numeroimatonotsikko"/>
        <w:rPr>
          <w:lang w:val="en-US"/>
        </w:rPr>
      </w:pPr>
      <w:r w:rsidRPr="00D03766">
        <w:rPr>
          <w:lang w:val="en-US"/>
        </w:rPr>
        <w:t>Questions</w:t>
      </w:r>
    </w:p>
    <w:sdt>
      <w:sdtPr>
        <w:rPr>
          <w:rStyle w:val="KysymyksetChar"/>
          <w:lang w:val="en-GB"/>
        </w:rPr>
        <w:alias w:val="Questions"/>
        <w:tag w:val="Fill in the questions here"/>
        <w:id w:val="-849104524"/>
        <w:lock w:val="sdtLocked"/>
        <w:placeholder>
          <w:docPart w:val="FCFEBE1AD5564E4D839F472D34BC3CA3"/>
        </w:placeholder>
        <w:text w:multiLine="1"/>
      </w:sdtPr>
      <w:sdtEndPr>
        <w:rPr>
          <w:rStyle w:val="KysymyksetChar"/>
        </w:rPr>
      </w:sdtEndPr>
      <w:sdtContent>
        <w:p w14:paraId="2D1F26B1" w14:textId="76EEDB60" w:rsidR="00082DFE" w:rsidRPr="00D9109D" w:rsidRDefault="00D9109D" w:rsidP="00D9109D">
          <w:pPr>
            <w:pStyle w:val="Lainaus"/>
            <w:ind w:left="0"/>
            <w:jc w:val="left"/>
            <w:rPr>
              <w:rStyle w:val="KysymyksetChar"/>
              <w:lang w:val="en-US"/>
            </w:rPr>
          </w:pPr>
          <w:r>
            <w:rPr>
              <w:rStyle w:val="KysymyksetChar"/>
              <w:lang w:val="en-GB"/>
            </w:rPr>
            <w:t xml:space="preserve">1. </w:t>
          </w:r>
          <w:r w:rsidRPr="00D9109D">
            <w:rPr>
              <w:rStyle w:val="KysymyksetChar"/>
              <w:lang w:val="en-GB"/>
            </w:rPr>
            <w:t>What is the general political situation in Georgia?</w:t>
          </w:r>
          <w:r>
            <w:rPr>
              <w:rStyle w:val="KysymyksetChar"/>
              <w:lang w:val="en-GB"/>
            </w:rPr>
            <w:br/>
            <w:t xml:space="preserve">2. </w:t>
          </w:r>
          <w:r w:rsidRPr="00D9109D">
            <w:rPr>
              <w:rStyle w:val="KysymyksetChar"/>
              <w:lang w:val="en-GB"/>
            </w:rPr>
            <w:t>What is the security situation in Georgia?</w:t>
          </w:r>
          <w:r>
            <w:rPr>
              <w:rStyle w:val="KysymyksetChar"/>
              <w:lang w:val="en-GB"/>
            </w:rPr>
            <w:br/>
            <w:t xml:space="preserve">3. </w:t>
          </w:r>
          <w:r w:rsidRPr="00D9109D">
            <w:rPr>
              <w:rStyle w:val="KysymyksetChar"/>
              <w:lang w:val="en-GB"/>
            </w:rPr>
            <w:t>What kinds of human rights violations have been reported in Georgia?</w:t>
          </w:r>
          <w:r>
            <w:rPr>
              <w:rStyle w:val="KysymyksetChar"/>
              <w:lang w:val="en-GB"/>
            </w:rPr>
            <w:br/>
            <w:t xml:space="preserve">4. </w:t>
          </w:r>
          <w:r w:rsidRPr="00D9109D">
            <w:rPr>
              <w:rStyle w:val="KysymyksetChar"/>
              <w:lang w:val="en-GB"/>
            </w:rPr>
            <w:t>What is the state of the rule of law in Georgia, and how accessible is protection from the authorities?</w:t>
          </w:r>
          <w:r>
            <w:rPr>
              <w:rStyle w:val="KysymyksetChar"/>
              <w:lang w:val="en-GB"/>
            </w:rPr>
            <w:br/>
            <w:t xml:space="preserve">5. </w:t>
          </w:r>
          <w:r w:rsidRPr="00D9109D">
            <w:rPr>
              <w:rStyle w:val="KysymyksetChar"/>
              <w:lang w:val="en-GB"/>
            </w:rPr>
            <w:t>What is the situation regarding freedom of expression and freedom of opinion in Georgia?</w:t>
          </w:r>
        </w:p>
      </w:sdtContent>
    </w:sdt>
    <w:p w14:paraId="1F1C2EF7" w14:textId="71F55FE1" w:rsidR="00082DFE" w:rsidRDefault="004316F2" w:rsidP="00082DFE">
      <w:pPr>
        <w:pStyle w:val="LeiptekstiMigri"/>
        <w:ind w:left="0"/>
        <w:rPr>
          <w:b/>
        </w:rPr>
      </w:pPr>
      <w:r>
        <w:rPr>
          <w:b/>
        </w:rPr>
        <w:pict w14:anchorId="5A028385">
          <v:rect id="_x0000_i1028" style="width:0;height:1.5pt" o:hralign="center" o:bullet="t" o:hrstd="t" o:hr="t" fillcolor="#a0a0a0" stroked="f"/>
        </w:pict>
      </w:r>
    </w:p>
    <w:p w14:paraId="79B1C69A" w14:textId="737D39E7" w:rsidR="00366432" w:rsidRDefault="00366432" w:rsidP="00082DFE">
      <w:pPr>
        <w:pStyle w:val="LeiptekstiMigri"/>
        <w:ind w:left="0"/>
      </w:pPr>
      <w:r w:rsidRPr="00521FC4">
        <w:t>Tämän kyselyvastauksen tarkastelu rajautuu Georgian keskushallinnon hallinnoimiin alueisiin. Abhasian ja Etelä-Ossetian separatistialueet eivät sisälly tarkasteluun, ellei yksittäisissä kohdissa toisin mainita.</w:t>
      </w:r>
      <w:r>
        <w:t xml:space="preserve"> </w:t>
      </w:r>
    </w:p>
    <w:p w14:paraId="26234C14" w14:textId="74E35BFC" w:rsidR="00395047" w:rsidRDefault="00395047" w:rsidP="00082DFE">
      <w:pPr>
        <w:pStyle w:val="LeiptekstiMigri"/>
        <w:ind w:left="0"/>
      </w:pPr>
    </w:p>
    <w:p w14:paraId="514CC0FE" w14:textId="77777777" w:rsidR="00395047" w:rsidRDefault="00395047" w:rsidP="00082DFE">
      <w:pPr>
        <w:pStyle w:val="LeiptekstiMigri"/>
        <w:ind w:left="0"/>
      </w:pPr>
    </w:p>
    <w:p w14:paraId="17428B55" w14:textId="19A5EBA2" w:rsidR="00543F66" w:rsidRDefault="009778BB" w:rsidP="00543F66">
      <w:pPr>
        <w:pStyle w:val="Otsikko1"/>
      </w:pPr>
      <w:r w:rsidRPr="009778BB">
        <w:lastRenderedPageBreak/>
        <w:t>Millainen on Georgian yleinen poliittinen tilanne</w:t>
      </w:r>
      <w:r>
        <w:t>?</w:t>
      </w:r>
    </w:p>
    <w:p w14:paraId="564C68E8" w14:textId="51094135" w:rsidR="00E8598F" w:rsidRPr="006200E6" w:rsidRDefault="00E8598F" w:rsidP="00C368F5">
      <w:pPr>
        <w:pStyle w:val="Numeroimatonotsikko"/>
      </w:pPr>
      <w:bookmarkStart w:id="0" w:name="_Hlk224290013"/>
      <w:r w:rsidRPr="006200E6">
        <w:t>Poliittinen järjestelmä ja vaalit</w:t>
      </w:r>
    </w:p>
    <w:p w14:paraId="443E5754" w14:textId="58D82D09" w:rsidR="00E8598F" w:rsidRPr="006200E6" w:rsidRDefault="009F5CDD" w:rsidP="00DB72FC">
      <w:r w:rsidRPr="006200E6">
        <w:t xml:space="preserve">Georgia on </w:t>
      </w:r>
      <w:r w:rsidR="00737EF7" w:rsidRPr="006200E6">
        <w:t>parlamentaarinen tasavalta, jossa on monipuoluejärjestelmä</w:t>
      </w:r>
      <w:r w:rsidRPr="006200E6">
        <w:t>.</w:t>
      </w:r>
      <w:r w:rsidR="002D1B3B" w:rsidRPr="006200E6">
        <w:rPr>
          <w:rStyle w:val="Alaviitteenviite"/>
        </w:rPr>
        <w:footnoteReference w:id="1"/>
      </w:r>
      <w:r w:rsidRPr="006200E6">
        <w:t xml:space="preserve"> </w:t>
      </w:r>
      <w:r w:rsidR="002D1B3B" w:rsidRPr="006200E6">
        <w:t xml:space="preserve">Georgian poliittista järjestelmää on jo yli vuosikymmenen ajan hallinnut Georgialainen unelma </w:t>
      </w:r>
      <w:r w:rsidR="002D1B3B" w:rsidRPr="006200E6">
        <w:rPr>
          <w:rFonts w:ascii="Cambria Math" w:hAnsi="Cambria Math" w:cs="Cambria Math"/>
        </w:rPr>
        <w:t>‑</w:t>
      </w:r>
      <w:r w:rsidR="002D1B3B" w:rsidRPr="006200E6">
        <w:t>puolue</w:t>
      </w:r>
      <w:r w:rsidR="00DD2ADE">
        <w:t xml:space="preserve"> (eng. Georgian Dream)</w:t>
      </w:r>
      <w:r w:rsidR="002D1B3B" w:rsidRPr="006200E6">
        <w:t>,</w:t>
      </w:r>
      <w:r w:rsidR="00DB72FC" w:rsidRPr="006200E6">
        <w:t xml:space="preserve"> joka on vuodesta 2012 lähtien ollut enemmistöasemassa parlamentissa ja lähes kaikissa kuntahallinnoissa. </w:t>
      </w:r>
      <w:r w:rsidR="002D1B3B" w:rsidRPr="006200E6">
        <w:t xml:space="preserve">Puolueen taustalla vaikuttava </w:t>
      </w:r>
      <w:r w:rsidR="008013B4" w:rsidRPr="006200E6">
        <w:t>miljardööri</w:t>
      </w:r>
      <w:r w:rsidR="002D1B3B" w:rsidRPr="006200E6">
        <w:t xml:space="preserve"> Bidzina Ivanišvili on ollut </w:t>
      </w:r>
      <w:r w:rsidR="00C368F5" w:rsidRPr="006200E6">
        <w:t>Georgian</w:t>
      </w:r>
      <w:r w:rsidR="002D1B3B" w:rsidRPr="006200E6">
        <w:t xml:space="preserve"> </w:t>
      </w:r>
      <w:r w:rsidR="00DB72FC" w:rsidRPr="006200E6">
        <w:t>tosiasiallinen</w:t>
      </w:r>
      <w:r w:rsidR="002D1B3B" w:rsidRPr="006200E6">
        <w:t xml:space="preserve"> vallankäyttäjä, vaikka hän on toiminut virallisissa tehtävissä vain ajoittain.</w:t>
      </w:r>
      <w:r w:rsidR="002D1B3B" w:rsidRPr="006200E6">
        <w:rPr>
          <w:rStyle w:val="Alaviitteenviite"/>
        </w:rPr>
        <w:footnoteReference w:id="2"/>
      </w:r>
      <w:r w:rsidR="002D1B3B" w:rsidRPr="006200E6">
        <w:t xml:space="preserve"> </w:t>
      </w:r>
    </w:p>
    <w:bookmarkEnd w:id="0"/>
    <w:p w14:paraId="69443C32" w14:textId="02170F96" w:rsidR="007001A0" w:rsidRDefault="00E8598F" w:rsidP="00E8598F">
      <w:r w:rsidRPr="006200E6">
        <w:t xml:space="preserve">Lainsäädäntövaltaa käyttää nelivuotiskausiksi valittava </w:t>
      </w:r>
      <w:r w:rsidR="00C368F5" w:rsidRPr="006200E6">
        <w:t xml:space="preserve">yksikamarinen </w:t>
      </w:r>
      <w:r w:rsidRPr="006200E6">
        <w:t>parlamentti, joka koostuu 150 jäsenestä.</w:t>
      </w:r>
      <w:r w:rsidR="00C368F5" w:rsidRPr="006200E6">
        <w:rPr>
          <w:rStyle w:val="Alaviitteenviite"/>
        </w:rPr>
        <w:footnoteReference w:id="3"/>
      </w:r>
      <w:r w:rsidR="00C368F5" w:rsidRPr="006200E6">
        <w:t xml:space="preserve"> </w:t>
      </w:r>
      <w:r w:rsidRPr="006200E6">
        <w:t>Lokakuun 2024 parlamenttivaaleissa Georgia</w:t>
      </w:r>
      <w:r w:rsidR="00C368F5" w:rsidRPr="006200E6">
        <w:t>lainen</w:t>
      </w:r>
      <w:r w:rsidRPr="006200E6">
        <w:t xml:space="preserve"> unelma </w:t>
      </w:r>
      <w:r w:rsidR="00C368F5" w:rsidRPr="006200E6">
        <w:t xml:space="preserve">-puolue </w:t>
      </w:r>
      <w:r w:rsidRPr="006200E6">
        <w:t>sai virallisten tulosten mukaan 89 paikkaa</w:t>
      </w:r>
      <w:r w:rsidR="00C368F5" w:rsidRPr="006200E6">
        <w:t xml:space="preserve">, </w:t>
      </w:r>
      <w:r w:rsidRPr="006200E6">
        <w:t>ja neljä oppositiopuoluetta tai -koalitiota yhteensä 61 paikkaa.</w:t>
      </w:r>
      <w:r w:rsidR="007A5C7C">
        <w:rPr>
          <w:rStyle w:val="Alaviitteenviite"/>
        </w:rPr>
        <w:footnoteReference w:id="4"/>
      </w:r>
      <w:r w:rsidR="00E03357" w:rsidRPr="006200E6">
        <w:t xml:space="preserve"> Euroopan turvallisuus- ja yhteistyöjärjestö Etyj</w:t>
      </w:r>
      <w:r w:rsidR="00401C26" w:rsidRPr="006200E6">
        <w:t xml:space="preserve">:n </w:t>
      </w:r>
      <w:r w:rsidR="00E03357" w:rsidRPr="006200E6">
        <w:t xml:space="preserve">vaalitarkkailijaryhmä totesi, että vaalit järjestettiin </w:t>
      </w:r>
      <w:r w:rsidR="00DD2ADE">
        <w:t>erittäin</w:t>
      </w:r>
      <w:r w:rsidR="00E03357" w:rsidRPr="006200E6">
        <w:t xml:space="preserve"> polarisoituneessa ilmapiirissä, jota leimasivat demokraattisen kehityksen taantuminen ja aiemmin samana vuonna hyväksytyt</w:t>
      </w:r>
      <w:r w:rsidR="00DD2ADE">
        <w:t>,</w:t>
      </w:r>
      <w:r w:rsidR="00E03357" w:rsidRPr="006200E6">
        <w:t xml:space="preserve"> </w:t>
      </w:r>
      <w:r w:rsidR="00DD2ADE">
        <w:t>kansalaisten perusoikeuksia heikentäneet lait</w:t>
      </w:r>
      <w:r w:rsidR="00E03357" w:rsidRPr="006200E6">
        <w:t>. Raporttien mukaan äänestäjiin</w:t>
      </w:r>
      <w:r w:rsidR="00DD2ADE">
        <w:t xml:space="preserve">, </w:t>
      </w:r>
      <w:r w:rsidR="00DD2ADE" w:rsidRPr="006200E6">
        <w:t>erityisesti julkisen sektorin työntekijöihin ja taloudellisesti haavoittuvassa asemassa oleviin henkilöihin</w:t>
      </w:r>
      <w:r w:rsidR="00DD2ADE">
        <w:t>,</w:t>
      </w:r>
      <w:r w:rsidR="00E03357" w:rsidRPr="006200E6">
        <w:t xml:space="preserve"> kohdistui uhkailua, painostusta, houkuttelua ja erilaisia vaikutusyrityksiä. Tämä herätti huolta siitä, pystyivätkö kaikki äänestäjät muodostamaan mielipiteensä ja äänestämään vapaasti ilman pelkoa seuraamuksista. Muita puutteita olivat muun muassa vaalipäivän jälkeisten valitusten riittämätön käsittely sekä äänestyssalaisuuden rikkomukset.</w:t>
      </w:r>
      <w:r w:rsidR="007A5C7C">
        <w:rPr>
          <w:rStyle w:val="Alaviitteenviite"/>
        </w:rPr>
        <w:footnoteReference w:id="5"/>
      </w:r>
      <w:r w:rsidR="00E03357" w:rsidRPr="006200E6">
        <w:t xml:space="preserve"> </w:t>
      </w:r>
      <w:r w:rsidRPr="006200E6">
        <w:t xml:space="preserve">Oppositio hylkäsi </w:t>
      </w:r>
      <w:r w:rsidR="00E03357" w:rsidRPr="006200E6">
        <w:t>vaali</w:t>
      </w:r>
      <w:r w:rsidRPr="006200E6">
        <w:t>tulokse</w:t>
      </w:r>
      <w:r w:rsidR="00E20B8D" w:rsidRPr="006200E6">
        <w:t>n</w:t>
      </w:r>
      <w:r w:rsidRPr="006200E6">
        <w:t xml:space="preserve"> vilpillis</w:t>
      </w:r>
      <w:r w:rsidR="00E20B8D" w:rsidRPr="006200E6">
        <w:t>e</w:t>
      </w:r>
      <w:r w:rsidRPr="006200E6">
        <w:t xml:space="preserve">nä ja boikotoi uuden parlamentin toimintaa. </w:t>
      </w:r>
      <w:r w:rsidR="00E20B8D" w:rsidRPr="006200E6">
        <w:t xml:space="preserve">Kolmen oppositiopuolueen kansanedustajat luopuivat paikoistaan. Yhden oppositiopuolueen edustajat, jotka eivät olleet virallisesti luopuneet paikoistaan mutta eivät myöskään osallistuneet parlamentin työskentelyyn, päättivät lokakuussa 2025 ottaa paikkansa vastaan, mikä päätti lähes vuoden kestäneen </w:t>
      </w:r>
      <w:r w:rsidR="00DD2ADE">
        <w:t>parlamentti</w:t>
      </w:r>
      <w:r w:rsidR="00E20B8D" w:rsidRPr="006200E6">
        <w:t>boikotin.</w:t>
      </w:r>
      <w:r w:rsidR="007A5C7C">
        <w:rPr>
          <w:rStyle w:val="Alaviitteenviite"/>
        </w:rPr>
        <w:footnoteReference w:id="6"/>
      </w:r>
    </w:p>
    <w:p w14:paraId="0A7CD5DA" w14:textId="2CECAC95" w:rsidR="00E8598F" w:rsidRPr="006200E6" w:rsidRDefault="006200E6" w:rsidP="00E8598F">
      <w:r w:rsidRPr="006200E6">
        <w:t>V</w:t>
      </w:r>
      <w:r w:rsidR="009F5CDD" w:rsidRPr="006200E6">
        <w:t xml:space="preserve">uoden 2013 perustuslakiuudistus siirsi merkittävän osan </w:t>
      </w:r>
      <w:r w:rsidRPr="006200E6">
        <w:t xml:space="preserve">presidentin </w:t>
      </w:r>
      <w:r w:rsidR="009F5CDD" w:rsidRPr="006200E6">
        <w:t xml:space="preserve">vallasta pääministerille ja hallitukselle. </w:t>
      </w:r>
      <w:r w:rsidR="00A33B93" w:rsidRPr="006200E6">
        <w:t xml:space="preserve">Vuodesta 2024 lähtien presidentin on valinnut 300-jäseninen valitsijakollegio, johon kuuluu parlamentin jäseniä ja alueellisia edustajia. Opposition boikotoitua </w:t>
      </w:r>
      <w:r w:rsidR="00401C26" w:rsidRPr="006200E6">
        <w:t>joulukuun 2024 presidentinvaaleja</w:t>
      </w:r>
      <w:r w:rsidR="00A33B93" w:rsidRPr="006200E6">
        <w:t xml:space="preserve"> ainoaksi ehdokkaaksi jäi Georgialainen unelma -valtapuolueen tukema Mikheil </w:t>
      </w:r>
      <w:r w:rsidR="00401C26" w:rsidRPr="006200E6">
        <w:t>Kavelašvili</w:t>
      </w:r>
      <w:r w:rsidR="00A33B93" w:rsidRPr="006200E6">
        <w:t xml:space="preserve">, joka sai kaikki valitsijakollegion äänet. Väistyvä presidentti Salome Zurabišvili piti valintaa </w:t>
      </w:r>
      <w:r w:rsidR="00E3548D">
        <w:t>epäpätevänä</w:t>
      </w:r>
      <w:r w:rsidR="00A33B93" w:rsidRPr="006200E6">
        <w:t>, koska se perustui kiistanalaiseen parlamenttikoostumukseen.</w:t>
      </w:r>
      <w:r w:rsidR="002D1B3B" w:rsidRPr="006200E6">
        <w:t xml:space="preserve"> Presidentti nimittää pääministerin parlamentin esityksestä. Vuonna 2021 pääministeriksi noussut Irakli Garibašvili erosi korruptiosyytösten vuoksi alkuvuodesta 2024, ja hänen </w:t>
      </w:r>
      <w:r w:rsidR="00E3548D">
        <w:t>seuraajakseen</w:t>
      </w:r>
      <w:r w:rsidR="002D1B3B" w:rsidRPr="006200E6">
        <w:t xml:space="preserve"> nimitettiin Georgialainen unelma -puolueen puheenjohtaja Irakli </w:t>
      </w:r>
      <w:r w:rsidR="00E7080F" w:rsidRPr="006200E6">
        <w:t>Kobakhidze</w:t>
      </w:r>
      <w:r w:rsidR="002D1B3B" w:rsidRPr="006200E6">
        <w:t>.</w:t>
      </w:r>
      <w:r w:rsidR="00E8598F" w:rsidRPr="006200E6">
        <w:rPr>
          <w:rStyle w:val="Alaviitteenviite"/>
        </w:rPr>
        <w:footnoteReference w:id="7"/>
      </w:r>
      <w:r w:rsidR="00E8598F" w:rsidRPr="006200E6">
        <w:t xml:space="preserve"> </w:t>
      </w:r>
    </w:p>
    <w:p w14:paraId="2E4554BB" w14:textId="2433CA64" w:rsidR="00E7080F" w:rsidRDefault="00E7080F" w:rsidP="007001A0">
      <w:r w:rsidRPr="006200E6">
        <w:t>Kunnallisvaalit järjestettiin lokakuussa 2025. Vaalien alla ilmapiiriä leimasivat voimakas poliittinen polarisaatio, väkivalta sekä kansalaisyhteiskuntaan ja riippumattomaan mediaan kohdistunut painostus ja uhkailu. Suurin osa oppositiopuolueista boikotoi vaaleja. Vaalilainsäädäntöön tehdyt</w:t>
      </w:r>
      <w:r w:rsidR="00E3548D">
        <w:t>, hallituspuolueen suosimiseen tähtäävät</w:t>
      </w:r>
      <w:r w:rsidRPr="006200E6">
        <w:t xml:space="preserve"> muutokset</w:t>
      </w:r>
      <w:r w:rsidR="00E3548D">
        <w:t xml:space="preserve"> </w:t>
      </w:r>
      <w:r w:rsidRPr="006200E6">
        <w:t xml:space="preserve">sekä laajamittainen toisinajattelun tukahduttaminen heikensivät merkittävästi mahdollisuuksia </w:t>
      </w:r>
      <w:r w:rsidRPr="006200E6">
        <w:lastRenderedPageBreak/>
        <w:t xml:space="preserve">käydä aidosti kilpailukykyiset vaalit. Lisäksi Georgian viranomaisten päätös olla kutsumatta kansainvälisiä tarkkailijoita ajoissa heikensi vaaliprosessin läpinäkyvyyttä ja esti </w:t>
      </w:r>
      <w:r w:rsidR="00E3548D">
        <w:t>luotettavan</w:t>
      </w:r>
      <w:r w:rsidRPr="006200E6">
        <w:t xml:space="preserve"> kansainvälisen valvonnan. Myös kotimaiset tarkkailijat olivat suurelta osin poissa </w:t>
      </w:r>
      <w:r w:rsidR="006200E6">
        <w:t>repressiivisen</w:t>
      </w:r>
      <w:r w:rsidRPr="006200E6">
        <w:t xml:space="preserve"> ilmapiirin vuoksi. Äänestysaktiivisuus jäi suhteellisen alhaiseksi.</w:t>
      </w:r>
      <w:r w:rsidR="007A5C7C">
        <w:rPr>
          <w:rStyle w:val="Alaviitteenviite"/>
        </w:rPr>
        <w:footnoteReference w:id="8"/>
      </w:r>
      <w:r w:rsidRPr="006200E6">
        <w:t xml:space="preserve"> Amnesty International -ihmisoikeusjärjestö dokumentoi vaalien alla laaja-alaisen sortokampanjan, johon sisältyi </w:t>
      </w:r>
      <w:r w:rsidR="00E3548D">
        <w:t xml:space="preserve">opposition edustajiin kohdistuneet syytetoimet </w:t>
      </w:r>
      <w:r w:rsidRPr="006200E6">
        <w:t>poliittis</w:t>
      </w:r>
      <w:r w:rsidR="006200E6">
        <w:t>ista syistä</w:t>
      </w:r>
      <w:r w:rsidRPr="006200E6">
        <w:t>, riippumattoman median ja kansalaisyhteiskunnan hiljentämistä rajoittavien lakien ja r</w:t>
      </w:r>
      <w:r w:rsidR="00E3548D">
        <w:t>angaistus</w:t>
      </w:r>
      <w:r w:rsidRPr="006200E6">
        <w:t xml:space="preserve">toimenpiteiden avulla sekä mielenosoittajien laajamittaista mielivaltaista pidättämistä ja </w:t>
      </w:r>
      <w:r w:rsidR="00E3548D">
        <w:t>kaltoinkohtelua</w:t>
      </w:r>
      <w:r w:rsidRPr="006200E6">
        <w:t>.</w:t>
      </w:r>
      <w:r w:rsidRPr="006200E6">
        <w:rPr>
          <w:rStyle w:val="Alaviitteenviite"/>
        </w:rPr>
        <w:footnoteReference w:id="9"/>
      </w:r>
    </w:p>
    <w:p w14:paraId="5A5B13B4" w14:textId="4C66203D" w:rsidR="008013B4" w:rsidRDefault="002D2357" w:rsidP="00A55200">
      <w:r w:rsidRPr="006200E6">
        <w:t>Global Initiative Against Transnational Organized Crime -järjestön elokuussa 2025 julkaisemassa raportissa kuvaillaan, kuinka v</w:t>
      </w:r>
      <w:r w:rsidR="008013B4" w:rsidRPr="006200E6">
        <w:t xml:space="preserve">uodesta 2012 lähtien Georgia on siirtynyt kohti huomattavasti keskitetympää valtiokaappausta </w:t>
      </w:r>
      <w:r w:rsidRPr="006200E6">
        <w:t xml:space="preserve">(state capture) </w:t>
      </w:r>
      <w:r w:rsidR="008013B4" w:rsidRPr="006200E6">
        <w:t xml:space="preserve">muistuttavaa järjestelmää, joka rakentuu Bidzina Ivanišvilin mittavan henkilökohtaisen varallisuuden ja epävirallisten vaikutusmekanismien varaan. </w:t>
      </w:r>
      <w:r w:rsidRPr="006200E6">
        <w:t xml:space="preserve">Ivanišvili </w:t>
      </w:r>
      <w:r w:rsidR="008013B4" w:rsidRPr="006200E6">
        <w:t>on rakentanut laajan verkoston keskeisille talouden aloille usein offshore</w:t>
      </w:r>
      <w:r w:rsidR="008013B4" w:rsidRPr="006200E6">
        <w:rPr>
          <w:rFonts w:ascii="Cambria Math" w:hAnsi="Cambria Math" w:cs="Cambria Math"/>
        </w:rPr>
        <w:t>‑</w:t>
      </w:r>
      <w:r w:rsidR="008013B4" w:rsidRPr="006200E6">
        <w:t xml:space="preserve">rakenteiden kautta, </w:t>
      </w:r>
      <w:r w:rsidR="006200E6">
        <w:t xml:space="preserve">mikä tarjoaa </w:t>
      </w:r>
      <w:r w:rsidR="008013B4" w:rsidRPr="006200E6">
        <w:t>sek</w:t>
      </w:r>
      <w:r w:rsidR="008013B4" w:rsidRPr="006200E6">
        <w:rPr>
          <w:rFonts w:cs="Century Gothic"/>
        </w:rPr>
        <w:t>ä</w:t>
      </w:r>
      <w:r w:rsidR="008013B4" w:rsidRPr="006200E6">
        <w:t xml:space="preserve"> taloudellista vaikutusvaltaa ett</w:t>
      </w:r>
      <w:r w:rsidR="008013B4" w:rsidRPr="006200E6">
        <w:rPr>
          <w:rFonts w:cs="Century Gothic"/>
        </w:rPr>
        <w:t>ä</w:t>
      </w:r>
      <w:r w:rsidR="008013B4" w:rsidRPr="006200E6">
        <w:t xml:space="preserve"> </w:t>
      </w:r>
      <w:r w:rsidR="00E3548D">
        <w:t>mahdollistaa poliittisen suojelun</w:t>
      </w:r>
      <w:r w:rsidR="008013B4" w:rsidRPr="006200E6">
        <w:t>. Georgia</w:t>
      </w:r>
      <w:r w:rsidRPr="006200E6">
        <w:t>lainen</w:t>
      </w:r>
      <w:r w:rsidR="008013B4" w:rsidRPr="006200E6">
        <w:t xml:space="preserve"> unelma</w:t>
      </w:r>
      <w:r w:rsidRPr="006200E6">
        <w:t xml:space="preserve"> -puolueen yli vuosikymmenen kestäneen </w:t>
      </w:r>
      <w:r w:rsidR="008013B4" w:rsidRPr="006200E6">
        <w:t xml:space="preserve">valtakauden aikana Ivanišvili on luonut hallintojärjestelmän, jossa viralliset ja epäviralliset rakenteet toimivat rinnakkain. Hän on käyttänyt merkittävää valtaa, vaikka ei ole toiminut </w:t>
      </w:r>
      <w:r w:rsidR="00E3548D">
        <w:t>virallisesti valtionhallinnon tehtävissä</w:t>
      </w:r>
      <w:r w:rsidR="008013B4" w:rsidRPr="006200E6">
        <w:t xml:space="preserve"> vuoden 2013 jälkeen. Poliittisella tasolla </w:t>
      </w:r>
      <w:r w:rsidR="006200E6" w:rsidRPr="006200E6">
        <w:t xml:space="preserve">Ivanišvili </w:t>
      </w:r>
      <w:r w:rsidR="008013B4" w:rsidRPr="006200E6">
        <w:t xml:space="preserve">määrittää keskeiset henkilönimitykset, ja johtavat poliitikot ja virkamiehet ovat vastuussa hänelle ja hänen lähipiirilleen pikemminkin kuin </w:t>
      </w:r>
      <w:r w:rsidR="00E3548D">
        <w:t>valtion</w:t>
      </w:r>
      <w:r w:rsidR="008013B4" w:rsidRPr="006200E6">
        <w:t xml:space="preserve"> instituutioille. </w:t>
      </w:r>
      <w:r w:rsidR="006200E6" w:rsidRPr="006200E6">
        <w:t xml:space="preserve">Ivanišvili </w:t>
      </w:r>
      <w:r w:rsidR="008013B4" w:rsidRPr="006200E6">
        <w:t>yrityksissä ja hyväntekeväisyysorganisaatioissa ty</w:t>
      </w:r>
      <w:r w:rsidR="008013B4" w:rsidRPr="006200E6">
        <w:rPr>
          <w:rFonts w:cs="Century Gothic"/>
        </w:rPr>
        <w:t>ö</w:t>
      </w:r>
      <w:r w:rsidR="008013B4" w:rsidRPr="006200E6">
        <w:t>skennelleitä henkilöitä on järjestelmällisesti nimitetty keskeisiin virkoihin, kuten pääministeriksi, sisäministeriksi ja valtion turvallisuuspalvelun johtoon. Epävirallista valtaa käytetään sekä valtion rakenteiden sisällä toimivien välittäjien kautta että yksityisten yritysten ja Georgia</w:t>
      </w:r>
      <w:r w:rsidRPr="006200E6">
        <w:t>laine</w:t>
      </w:r>
      <w:r w:rsidR="008013B4" w:rsidRPr="006200E6">
        <w:t xml:space="preserve">n unelma </w:t>
      </w:r>
      <w:r w:rsidR="008013B4" w:rsidRPr="006200E6">
        <w:rPr>
          <w:rFonts w:ascii="Cambria Math" w:hAnsi="Cambria Math" w:cs="Cambria Math"/>
        </w:rPr>
        <w:t>‑</w:t>
      </w:r>
      <w:r w:rsidR="008013B4" w:rsidRPr="006200E6">
        <w:t>puolueen kautta. Suojelusjärjestelmä</w:t>
      </w:r>
      <w:r w:rsidRPr="006200E6">
        <w:t xml:space="preserve"> (patronage system)</w:t>
      </w:r>
      <w:r w:rsidR="008013B4" w:rsidRPr="006200E6">
        <w:t xml:space="preserve"> ulottuu </w:t>
      </w:r>
      <w:r w:rsidR="005F6C01">
        <w:t>Tbilisissä toimivan puolueen</w:t>
      </w:r>
      <w:r w:rsidR="008013B4" w:rsidRPr="006200E6">
        <w:t xml:space="preserve"> ja parlamentin ulkopuolelle </w:t>
      </w:r>
      <w:r w:rsidR="005F6C01">
        <w:t>Georgian eri alueille</w:t>
      </w:r>
      <w:r w:rsidR="008013B4" w:rsidRPr="006200E6">
        <w:t xml:space="preserve">. </w:t>
      </w:r>
      <w:r w:rsidR="00940458" w:rsidRPr="006200E6">
        <w:t>Georgialainen</w:t>
      </w:r>
      <w:r w:rsidR="008013B4" w:rsidRPr="006200E6">
        <w:t xml:space="preserve"> unelma</w:t>
      </w:r>
      <w:r w:rsidR="00940458" w:rsidRPr="006200E6">
        <w:t xml:space="preserve"> -puolueen</w:t>
      </w:r>
      <w:r w:rsidR="008013B4" w:rsidRPr="006200E6">
        <w:t xml:space="preserve"> vahva asema kunnissa ja kuvernöörien nimityksissä luo vertikaalisen valtarakenteen, jossa paikalliset viranomaiset ovat riippuvaisia puolueesta asemansa ja resurssiensa vuoksi. Keskushallinnon ministeriöt kontrolloivat nimityksiä ja resurssien jakoa aina piiritasolle asti. </w:t>
      </w:r>
      <w:r w:rsidR="005F6C01">
        <w:t>Maaseudulla puoluee</w:t>
      </w:r>
      <w:r w:rsidR="00A55200">
        <w:t xml:space="preserve">n hallitseva asema julkisessa hallinnossa on luonut tilanteen, jossa paikalliset asukkaat ovat vahvasti riippuvaisia puolueeseen kytkeytyvistä toimijoista. Tämä </w:t>
      </w:r>
      <w:r w:rsidR="00A55200" w:rsidRPr="00A55200">
        <w:t>riippuvuus ulottuu sekä työllistymismahdollisuuksiin että valtion palveluiden saatavuuteen, mikä antaa puolueelle huomattavaa vaikutusvaltaa maaseudun äänestäjiin</w:t>
      </w:r>
      <w:r w:rsidR="008013B4" w:rsidRPr="006200E6">
        <w:t>.</w:t>
      </w:r>
      <w:r w:rsidR="008013B4" w:rsidRPr="006200E6">
        <w:rPr>
          <w:rStyle w:val="Alaviitteenviite"/>
        </w:rPr>
        <w:footnoteReference w:id="10"/>
      </w:r>
    </w:p>
    <w:p w14:paraId="2931FDAB" w14:textId="276C766B" w:rsidR="00C24BDD" w:rsidRPr="00940458" w:rsidRDefault="00AF17B9" w:rsidP="00940458">
      <w:pPr>
        <w:pStyle w:val="Numeroimatonotsikko"/>
      </w:pPr>
      <w:r w:rsidRPr="00940458">
        <w:t>Poliittinen kriisi</w:t>
      </w:r>
      <w:r w:rsidR="00940458">
        <w:t xml:space="preserve"> ja demokratian heikentyminen</w:t>
      </w:r>
    </w:p>
    <w:p w14:paraId="4355D6F6" w14:textId="2C444022" w:rsidR="00940458" w:rsidRPr="00E20B8D" w:rsidRDefault="00C24BDD" w:rsidP="00C24BDD">
      <w:r w:rsidRPr="006200E6">
        <w:t>Georgian kuvataan ajautuneen syvään poliittiseen kriisiin lokakuun 2024 parlamenttivaalien jälkeen</w:t>
      </w:r>
      <w:r w:rsidR="00547B86" w:rsidRPr="006200E6">
        <w:t xml:space="preserve">. Kiistanalaiset vaalit syöksivät maan yhä </w:t>
      </w:r>
      <w:r w:rsidR="006200E6">
        <w:t>repressiivisempään</w:t>
      </w:r>
      <w:r w:rsidR="00547B86" w:rsidRPr="006200E6">
        <w:t xml:space="preserve"> sisäpoliittiseen ilmapiiriin, johon liittyi mielenosoittajiin, kansalaisyhteiskuntaan, riippumattomaan mediaan ja poliittiseen oppositioon kohdistuvia kovenevia toimia sekä </w:t>
      </w:r>
      <w:r w:rsidR="00A55200">
        <w:t>laajamittaisia</w:t>
      </w:r>
      <w:r w:rsidR="00547B86" w:rsidRPr="006200E6">
        <w:t xml:space="preserve"> ihmisoikeusloukkauksia. Samalla maa alkoi ajautua kasvavaan kansainväliseen eristäytymiseen</w:t>
      </w:r>
      <w:r w:rsidR="00A55200">
        <w:t>, ja m</w:t>
      </w:r>
      <w:r w:rsidR="00E20B8D" w:rsidRPr="006200E6">
        <w:t>arraskuussa 2024 Georgian viranomaiset ilmoittivat EU-jäsenyysprosessin keskeyttämisestä.</w:t>
      </w:r>
      <w:r w:rsidR="00623A74">
        <w:rPr>
          <w:rStyle w:val="Alaviitteenviite"/>
        </w:rPr>
        <w:footnoteReference w:id="11"/>
      </w:r>
    </w:p>
    <w:p w14:paraId="58F6D2C9" w14:textId="77777777" w:rsidR="00A64DCD" w:rsidRDefault="00A55200" w:rsidP="00590663">
      <w:r>
        <w:t xml:space="preserve">Maaliskuussa 2026 pidetyssä </w:t>
      </w:r>
      <w:r w:rsidR="00590663" w:rsidRPr="00EB2088">
        <w:t>Etyj</w:t>
      </w:r>
      <w:r w:rsidR="00E20B8D" w:rsidRPr="00EB2088">
        <w:t>:</w:t>
      </w:r>
      <w:r w:rsidR="00590663" w:rsidRPr="00EB2088">
        <w:t xml:space="preserve">n pysyvän neuvoston kokouksessa esiteltiin </w:t>
      </w:r>
      <w:r w:rsidR="006200E6" w:rsidRPr="00EB2088">
        <w:t xml:space="preserve">helmikuussa 2026 julkaistu </w:t>
      </w:r>
      <w:r w:rsidR="00590663" w:rsidRPr="00EB2088">
        <w:t>Moskovan mekanismin raportti, jossa tarkastellaan Georgian ihmisoikeustilannetta ja perusvapauksien toteutumista keväästä 2024 lähtien. Raportin mukaan Georgiassa on tapahtunut selvä demokratian heikentyminen.</w:t>
      </w:r>
      <w:r w:rsidR="00590663" w:rsidRPr="00EB2088">
        <w:rPr>
          <w:rStyle w:val="Alaviitteenviite"/>
        </w:rPr>
        <w:footnoteReference w:id="12"/>
      </w:r>
      <w:r w:rsidR="00590663" w:rsidRPr="00EB2088">
        <w:t xml:space="preserve"> Samoin Euroopan komission marraskuussa 2025 julkaistussa, raportointijaksoa 1.9.2024</w:t>
      </w:r>
      <w:r w:rsidR="006200E6" w:rsidRPr="00EB2088">
        <w:t>–</w:t>
      </w:r>
      <w:r w:rsidR="00590663" w:rsidRPr="00EB2088">
        <w:t xml:space="preserve">1.9.2025 käsittelevässä raportissa todetaan </w:t>
      </w:r>
      <w:r w:rsidR="00590663" w:rsidRPr="00EB2088">
        <w:lastRenderedPageBreak/>
        <w:t xml:space="preserve">demokratian tilan ja perusperiaatteiden heikentyneen merkittävästi Georgiassa raportointijaksolla. Georgian viranomaiset ovat hyökänneet demokraattisia instituutioita ja perusoikeuksia vastaan vihamielisellä retoriikalla, jatkuvalla disinformaation levittämisellä, pelottelulla, repressiivisillä toimilla ja </w:t>
      </w:r>
      <w:r>
        <w:t>lainsäädäntömuutoksilla</w:t>
      </w:r>
      <w:r w:rsidR="00590663" w:rsidRPr="00EB2088">
        <w:t>. Kansalaisvapauksia, vallan kolmijakoa ja demokraattista päätöksentekoa on rapautettu. Parlamentaarinen valvonta on käytännössä puutteellista, ja toimeenpanovallan keskittyminen on lisääntynyt. Parlamentti, joka</w:t>
      </w:r>
      <w:r w:rsidR="00207DAB" w:rsidRPr="00EB2088">
        <w:t xml:space="preserve"> opposition boikotin vuoksi</w:t>
      </w:r>
      <w:r w:rsidR="00590663" w:rsidRPr="00EB2088">
        <w:t xml:space="preserve"> koostuu </w:t>
      </w:r>
      <w:r w:rsidR="00207DAB" w:rsidRPr="00EB2088">
        <w:t>vain hallituspuolueesta ja sen liittolaisista</w:t>
      </w:r>
      <w:r w:rsidR="00590663" w:rsidRPr="00EB2088">
        <w:t xml:space="preserve">, </w:t>
      </w:r>
      <w:r w:rsidR="00207DAB" w:rsidRPr="00EB2088">
        <w:t>on vienyt lakeja läpi kiireellisessä menettelyssä ilman asianmukaista kuulemista. Näihin pikaisesti hyväksyttyihin säädöksiin sisältyy määräyksiä, jotka heikentävät ihmisoikeuksien suojelua, rajoittavat perusoikeuksia ja kaventavat demokraattista päätöksentekoa</w:t>
      </w:r>
      <w:r w:rsidR="00590663" w:rsidRPr="00EB2088">
        <w:t>.</w:t>
      </w:r>
      <w:r w:rsidR="00590663" w:rsidRPr="00EB2088">
        <w:rPr>
          <w:vertAlign w:val="superscript"/>
        </w:rPr>
        <w:footnoteReference w:id="13"/>
      </w:r>
      <w:r w:rsidR="00EB2088" w:rsidRPr="00EB2088">
        <w:t xml:space="preserve"> </w:t>
      </w:r>
      <w:r w:rsidR="00207DAB" w:rsidRPr="00EB2088">
        <w:t>Samoin Etyj</w:t>
      </w:r>
      <w:r w:rsidR="00E20B8D" w:rsidRPr="00EB2088">
        <w:t>:</w:t>
      </w:r>
      <w:r w:rsidR="00207DAB" w:rsidRPr="00EB2088">
        <w:t xml:space="preserve">n raportin mukaan </w:t>
      </w:r>
      <w:r w:rsidR="0000016A" w:rsidRPr="00EB2088">
        <w:t xml:space="preserve">Georgian </w:t>
      </w:r>
      <w:r w:rsidR="00207DAB" w:rsidRPr="00EB2088">
        <w:t xml:space="preserve">viranomaiset ovat asteittain rajoittaneet sananvapautta sekä kokoontumis- ja yhdistymisvapautta </w:t>
      </w:r>
      <w:r w:rsidR="00A64DCD">
        <w:t>lainsäädäntömuutoksilla</w:t>
      </w:r>
      <w:r w:rsidR="00207DAB" w:rsidRPr="00EB2088">
        <w:t xml:space="preserve">, </w:t>
      </w:r>
      <w:r w:rsidR="00A64DCD">
        <w:t>jotka kohdistuvat</w:t>
      </w:r>
      <w:r w:rsidR="00207DAB" w:rsidRPr="00EB2088">
        <w:t xml:space="preserve"> kansalaisyhteiskuntaan, oppositioon, </w:t>
      </w:r>
      <w:r w:rsidR="00590663" w:rsidRPr="00EB2088">
        <w:t xml:space="preserve">riippumattomaan mediaan ja </w:t>
      </w:r>
      <w:r w:rsidR="00FE171F" w:rsidRPr="00EB2088">
        <w:t>HLBTIQ+-</w:t>
      </w:r>
      <w:r w:rsidR="00590663" w:rsidRPr="00EB2088">
        <w:t>yhteisöön.</w:t>
      </w:r>
      <w:r w:rsidR="00623A74">
        <w:rPr>
          <w:rStyle w:val="Alaviitteenviite"/>
        </w:rPr>
        <w:footnoteReference w:id="14"/>
      </w:r>
    </w:p>
    <w:p w14:paraId="623DDE75" w14:textId="023C28D3" w:rsidR="0060721F" w:rsidRPr="00EB2088" w:rsidRDefault="009D0599" w:rsidP="00590663">
      <w:r w:rsidRPr="00EB2088">
        <w:t xml:space="preserve">Vuosien 2023 ja 2025 välillä </w:t>
      </w:r>
      <w:r w:rsidR="00207DAB" w:rsidRPr="00EB2088">
        <w:t xml:space="preserve">viranomaiset </w:t>
      </w:r>
      <w:r w:rsidRPr="00EB2088">
        <w:t>käynnistivät tai hyväksyivät yli 25 lakimuutosta, joilla on ollut suuri vaikutus kansalaisvapauksiin ja kansalaisyhteiskunnan toimintatilaan. Merkittävimpiä näistä ovat vuoden 2024</w:t>
      </w:r>
      <w:r w:rsidR="0000016A" w:rsidRPr="00EB2088">
        <w:t xml:space="preserve"> laki ulkomaisen vaikutuksen läpinäkyvyydestä </w:t>
      </w:r>
      <w:r w:rsidR="003F43EB" w:rsidRPr="00EB2088">
        <w:t xml:space="preserve">eli TFI </w:t>
      </w:r>
      <w:r w:rsidR="0000016A" w:rsidRPr="00EB2088">
        <w:t>(The Law on Transparency of Foreign Influence)</w:t>
      </w:r>
      <w:r w:rsidR="00AE31DA" w:rsidRPr="00EB2088">
        <w:t xml:space="preserve">, </w:t>
      </w:r>
      <w:bookmarkStart w:id="2" w:name="_Hlk224298164"/>
      <w:r w:rsidR="00AE31DA" w:rsidRPr="00EB2088">
        <w:t xml:space="preserve">vuoden </w:t>
      </w:r>
      <w:r w:rsidR="00AE31DA" w:rsidRPr="00EF38A4">
        <w:t xml:space="preserve">2025 ulkomaisten </w:t>
      </w:r>
      <w:r w:rsidR="0049356E" w:rsidRPr="00EF38A4">
        <w:t>agenttien</w:t>
      </w:r>
      <w:r w:rsidR="00AE31DA" w:rsidRPr="00EF38A4">
        <w:t xml:space="preserve"> rekisteröintilaki</w:t>
      </w:r>
      <w:r w:rsidR="00AE31DA" w:rsidRPr="00EB2088">
        <w:t xml:space="preserve"> </w:t>
      </w:r>
      <w:bookmarkEnd w:id="2"/>
      <w:r w:rsidR="003F43EB" w:rsidRPr="00EB2088">
        <w:t xml:space="preserve">eli FARA </w:t>
      </w:r>
      <w:r w:rsidR="00AE31DA" w:rsidRPr="00EB2088">
        <w:t>(Foreign Agents Registration Act)</w:t>
      </w:r>
      <w:r w:rsidR="003F43EB" w:rsidRPr="00EB2088">
        <w:t xml:space="preserve"> </w:t>
      </w:r>
      <w:r w:rsidRPr="00EB2088">
        <w:t>sekä muutokset apurahoja koskevaan lainsäädäntöön.</w:t>
      </w:r>
      <w:r w:rsidR="00D45758">
        <w:rPr>
          <w:rStyle w:val="Alaviitteenviite"/>
        </w:rPr>
        <w:footnoteReference w:id="15"/>
      </w:r>
    </w:p>
    <w:p w14:paraId="78E4BA97" w14:textId="26D33D56" w:rsidR="00552E89" w:rsidRPr="003F43EB" w:rsidRDefault="003F43EB" w:rsidP="003F43EB">
      <w:r w:rsidRPr="00EB2088">
        <w:t xml:space="preserve">TFI </w:t>
      </w:r>
      <w:r w:rsidR="0000016A" w:rsidRPr="00EB2088">
        <w:t>hyväksyttiin toukokuussa 202</w:t>
      </w:r>
      <w:r w:rsidR="00AE31DA" w:rsidRPr="00EB2088">
        <w:t>4</w:t>
      </w:r>
      <w:r w:rsidR="0000016A" w:rsidRPr="00EB2088">
        <w:t xml:space="preserve"> Georgian parlamentissa ohittaen presidentin veto-oikeuden. Lain aiempi versio esiteltiin jo maaliskuussa 2023, mutta se peruutettiin laajojen mielenosoitusten seurauksena. Hallitus perusteli lakia väittämällä, että ulkomailta </w:t>
      </w:r>
      <w:r w:rsidR="00A64DCD">
        <w:t>rahoitusta saavat</w:t>
      </w:r>
      <w:r w:rsidR="0000016A" w:rsidRPr="00EB2088">
        <w:t xml:space="preserve"> kansalaisjärjestöt yrittävät horjuttaa valtiota. Laki velvoittaa </w:t>
      </w:r>
      <w:r w:rsidR="00AE31DA" w:rsidRPr="00EB2088">
        <w:t>organisaatiot</w:t>
      </w:r>
      <w:r w:rsidR="0000016A" w:rsidRPr="00EB2088">
        <w:t xml:space="preserve"> rekisteröitymään ”ulkomaisen vallan etuja ajaviksi”, jos yli 20 % niiden rahoituksesta tulee </w:t>
      </w:r>
      <w:r w:rsidR="00AE31DA" w:rsidRPr="00EB2088">
        <w:t>ulkomaisista lähteistä</w:t>
      </w:r>
      <w:r w:rsidR="0000016A" w:rsidRPr="00EB2088">
        <w:t xml:space="preserve">. </w:t>
      </w:r>
      <w:r w:rsidR="00AE31DA" w:rsidRPr="00EB2088">
        <w:t xml:space="preserve">Rekisteröitymättä jättäminen tai raportointivelvollisuuden laiminlyönti johtaa merkittäviin hallinnollisiin sakkoihin. Oikeusministeriöllä on myös valtuudet rekisteröidä organisaatio </w:t>
      </w:r>
      <w:r w:rsidR="00A64DCD">
        <w:t>itse</w:t>
      </w:r>
      <w:r w:rsidR="00AE31DA" w:rsidRPr="00EB2088">
        <w:t>, jos se katsoo lain kriteerien tä</w:t>
      </w:r>
      <w:r w:rsidRPr="00EB2088">
        <w:t>yttyvän. Suurin osa georgialaisista kansalaisjärjestöistä kieltäytyi aluksi rekisteröitymästä. Helmikuuhun 2026 mennessä oikeusministeriön mukaan 385 organisaatiota oli rekisteröity. Georgian ulkoministeriön mukaan järjestöjä, jotka ovat kieltäytyneet rekisteröitymästä, ei ole sakotettu.</w:t>
      </w:r>
      <w:r w:rsidR="0000016A" w:rsidRPr="00EB2088">
        <w:rPr>
          <w:rStyle w:val="Alaviitteenviite"/>
        </w:rPr>
        <w:footnoteReference w:id="16"/>
      </w:r>
      <w:r w:rsidRPr="00EB2088">
        <w:t xml:space="preserve"> </w:t>
      </w:r>
    </w:p>
    <w:p w14:paraId="27664ADF" w14:textId="3EE81035" w:rsidR="00433495" w:rsidRDefault="004818E3" w:rsidP="004818E3">
      <w:r w:rsidRPr="004818E3">
        <w:t>Georgian hallitus reagoi TFI-lain laajaan vastustukseen säätämällä toukokuussa 2025 voimaan tulleen FARA-lain, joka täydentää mutta ei korvaa TFI:tä</w:t>
      </w:r>
      <w:r w:rsidR="003F43EB" w:rsidRPr="00EB2088">
        <w:t xml:space="preserve">. Pääministeri Kobakhidzen mukaan FARA:n hyväksyminen oli poliittinen teko, jolla pyrittiin vaimentamaan TFI:tä koskevaa kritiikkiä. </w:t>
      </w:r>
      <w:r w:rsidRPr="004818E3">
        <w:t>FARA:ssa säädetää</w:t>
      </w:r>
      <w:r>
        <w:t>n</w:t>
      </w:r>
      <w:r w:rsidR="003F43EB" w:rsidRPr="004818E3">
        <w:t xml:space="preserve"> </w:t>
      </w:r>
      <w:r w:rsidR="0049356E" w:rsidRPr="004818E3">
        <w:t>ulkomaisen päämiehen agentista (</w:t>
      </w:r>
      <w:r w:rsidR="003F43EB" w:rsidRPr="004818E3">
        <w:t>agent of a foreign principal</w:t>
      </w:r>
      <w:r w:rsidR="0049356E" w:rsidRPr="004818E3">
        <w:t>)</w:t>
      </w:r>
      <w:r>
        <w:t xml:space="preserve">, joka voi olla luonnollinen henkilö tai oikeushenkilö. Ulkomaisen päämiehen agentti toimii </w:t>
      </w:r>
      <w:r w:rsidR="003F43EB" w:rsidRPr="00EB2088">
        <w:t xml:space="preserve">ulkomaisen päämiehen määräyksestä, pyynnöstä, ohjauksessa tai valvonnassa ja </w:t>
      </w:r>
      <w:r>
        <w:t>osallistuu</w:t>
      </w:r>
      <w:r w:rsidR="003F43EB" w:rsidRPr="00EB2088">
        <w:t xml:space="preserve"> poliittiseen toimintaan Georgiassa tämän ulkomaisen päämiehen hyödyksi tai tämän intressissä. Ulkomaisen päämiehen agenteilla on velvollisuus</w:t>
      </w:r>
      <w:r w:rsidR="0049356E" w:rsidRPr="00EB2088">
        <w:t xml:space="preserve"> </w:t>
      </w:r>
      <w:r w:rsidR="003F43EB" w:rsidRPr="00EB2088">
        <w:t>rekisteröityä</w:t>
      </w:r>
      <w:r w:rsidR="0049356E" w:rsidRPr="00EB2088">
        <w:t xml:space="preserve">, </w:t>
      </w:r>
      <w:r w:rsidR="003F43EB" w:rsidRPr="00EB2088">
        <w:t>raportoida toiminnastaan</w:t>
      </w:r>
      <w:r w:rsidR="0049356E" w:rsidRPr="00EB2088">
        <w:t xml:space="preserve">, </w:t>
      </w:r>
      <w:r w:rsidR="003F43EB" w:rsidRPr="00EB2088">
        <w:t>säilyttää asiakirjoja</w:t>
      </w:r>
      <w:r w:rsidR="0049356E" w:rsidRPr="00EB2088">
        <w:t>, i</w:t>
      </w:r>
      <w:r w:rsidR="003F43EB" w:rsidRPr="00EB2088">
        <w:t>lmoittaa rahoituksensa</w:t>
      </w:r>
      <w:r w:rsidR="0049356E" w:rsidRPr="00EB2088">
        <w:t xml:space="preserve"> ja </w:t>
      </w:r>
      <w:r w:rsidR="003F43EB" w:rsidRPr="00EB2088">
        <w:t xml:space="preserve">merkitä julkaisemansa materiaalit ulkomaisen päämiehen agentin tuottamiksi. </w:t>
      </w:r>
      <w:r>
        <w:t xml:space="preserve">Velvoitteiden rikkomisesta voidaan määrätä </w:t>
      </w:r>
      <w:r w:rsidRPr="004818E3">
        <w:t>hallinnollisia sakkoja ja jopa viiden vuoden vankeusrangaistus.</w:t>
      </w:r>
      <w:r>
        <w:t xml:space="preserve"> </w:t>
      </w:r>
      <w:r w:rsidR="00433495" w:rsidRPr="00EB2088">
        <w:t xml:space="preserve">Hallitus ei ollut vuoden 2026 alussa ottanut käyttöön järjestelmällistä järjestöjen tai muiden toimijoiden aseman tarkastusjärjestelmää. TFI:tä ja FARA:a on käytetty yksittäisiin organisaatioihin kohdistuviin tietopyyntöihin, erityisesti jos niiden työntekijät tai yhteistyökumppanit ovat osallistuneet mielenosoituksiin. Joillekin organisaatioille on annettu varoituksia rikosoikeudellisesta vastuusta, koska ne eivät olleet </w:t>
      </w:r>
      <w:r w:rsidR="00433495" w:rsidRPr="00EB2088">
        <w:lastRenderedPageBreak/>
        <w:t xml:space="preserve">rekisteröityneet FARA:n mukaisiksi “agenteiksi”. FARA antaa korruptionvastaiselle toimistolle pääsyn organisaatioiden sisäisiin asiakirjoihin, </w:t>
      </w:r>
      <w:r>
        <w:t xml:space="preserve">mikä on johtanut siihen, että </w:t>
      </w:r>
      <w:r w:rsidR="00433495" w:rsidRPr="00EB2088">
        <w:t>osa työntekijöistä ja yhteistyökumppaneista on päättänyt</w:t>
      </w:r>
      <w:r>
        <w:t xml:space="preserve"> </w:t>
      </w:r>
      <w:r w:rsidR="00433495" w:rsidRPr="00EB2088">
        <w:t>lopettaa yhteistyön sellaisten organisaatioiden kanssa, jotka saattaisivat kuulua TFI:n tai FARA:n soveltamisalaan.</w:t>
      </w:r>
      <w:r w:rsidR="00433495" w:rsidRPr="00EB2088">
        <w:rPr>
          <w:rStyle w:val="Alaviitteenviite"/>
        </w:rPr>
        <w:footnoteReference w:id="17"/>
      </w:r>
      <w:r w:rsidR="003F43EB">
        <w:t xml:space="preserve"> </w:t>
      </w:r>
    </w:p>
    <w:p w14:paraId="1DDC3721" w14:textId="2B25FFDC" w:rsidR="007F4389" w:rsidRDefault="004818E3" w:rsidP="004818E3">
      <w:r>
        <w:t xml:space="preserve">Keväällä ja kesällä 2025 apurahalakiin tulleet muutokset </w:t>
      </w:r>
      <w:r w:rsidR="007F4389" w:rsidRPr="00EB2088">
        <w:t>kieltävät ulkomaisen rahoituksen myöntämisen ilman ennakkohyväksyntää. Luvan puuttuessa apurahan vastaanottamisesta seuraa sakko, joka on kaksinkertainen apurahan määrään nähden. Muutosten tarkoituksena oli parlamentin puhemiehen mukaan täydentää TFI- ja FARA</w:t>
      </w:r>
      <w:r w:rsidR="007F4389" w:rsidRPr="00EB2088">
        <w:rPr>
          <w:rFonts w:ascii="Cambria Math" w:hAnsi="Cambria Math" w:cs="Cambria Math"/>
        </w:rPr>
        <w:t>‑</w:t>
      </w:r>
      <w:r w:rsidR="007F4389" w:rsidRPr="00EB2088">
        <w:t>lakien vaikutuksia ja kohdistaa s</w:t>
      </w:r>
      <w:r w:rsidR="007F4389" w:rsidRPr="00EB2088">
        <w:rPr>
          <w:rFonts w:cs="Century Gothic"/>
        </w:rPr>
        <w:t>ää</w:t>
      </w:r>
      <w:r w:rsidR="007F4389" w:rsidRPr="00EB2088">
        <w:t>ntely my</w:t>
      </w:r>
      <w:r w:rsidR="007F4389" w:rsidRPr="00EB2088">
        <w:rPr>
          <w:rFonts w:cs="Century Gothic"/>
        </w:rPr>
        <w:t>ö</w:t>
      </w:r>
      <w:r w:rsidR="007F4389" w:rsidRPr="00EB2088">
        <w:t xml:space="preserve">s rahoittajiin. Ulkomaisen apurahan määritelmä on laaja ja kattaa myös tiedon tai teknisen avun siirron. Osa apurahoista on rajattu lain ulkopuolelle. Lain seurauksena monet rahoittajat keskeyttivät tukensa georgialaisille järjestöille, mikä heikensi niiden toimintamahdollisuuksia. Korruptionvastaisella toimistolla on oikeus pyytää asiakirjoja, myös arkaluonteisia henkilötietoja, ja se voi takavarikoida rikkomuksesta epäillyn omaisuutta. </w:t>
      </w:r>
      <w:r w:rsidR="00EB2088">
        <w:t>Korruptionvastainen t</w:t>
      </w:r>
      <w:r w:rsidR="007F4389" w:rsidRPr="00EB2088">
        <w:t>oimisto voi myös pyytää tuomioistuinta rekisteröimään toimijan “ulkomaiseksi agentiksi”. Lain rikkomisesta voi seurata enintään kuuden vuoden vankeus.</w:t>
      </w:r>
      <w:r w:rsidR="007F4389" w:rsidRPr="00EB2088">
        <w:rPr>
          <w:rStyle w:val="Alaviitteenviite"/>
        </w:rPr>
        <w:footnoteReference w:id="18"/>
      </w:r>
    </w:p>
    <w:p w14:paraId="3A1B921C" w14:textId="5143912D" w:rsidR="00746888" w:rsidRDefault="00980592" w:rsidP="003F43EB">
      <w:r w:rsidRPr="00EB2088">
        <w:t xml:space="preserve">Maaliskuussa 2026 hyväksyttiin lakipaketti, joka antaa hallituksella laajat valtuudet valvoa ja rajoittaa ulkomaista rahoitusta sekä kriminalisoida hallituksen legitimiteetin kyseenalaistaminen. Uuden lain mukaan lähes kaikki ulkomailta tuleva tuki, myös yksityishenkilöiltä ja teknisen avun muodossa, voidaan tulkita apurahaksi, joka vaatii ennakkoluvan hallitukselta. Määritelmä on niin laaja, että mikä tahansa toiminta, jonka katsotaan vaikuttavan Georgian politiikkaan, voi kuulua sen piiriin. Laki kieltää myös poliittisten puolueiden johtajia vastaanottamasta ulkomaista rahoitusta ja kriminalisoi niin sanotun ulkomaisen lobbaamisen. Lisäksi henkilöiltä, jotka työskentelevät organisaatioissa, joiden rahoituksesta yli 20 % tulee ulkomailta, voidaan kieltää puoluejäsenyys kahdeksaksi vuodeksi, mikä sulkee suuren osan kansalaisyhteiskunnan ja median työntekijöistä pois politiikasta. Lakipaketti sisältää myös rikossäännöksen, joka rankaisee toimista tai puheista, joiden katsotaan “luovan käsitystä hallituksen epälegitiimiydestä”. Ulkomaista rahoitusta koskevien sääntöjen rikkomisesta voi seurata jopa kuusi vuotta vankeutta, ja rikoslakiin lisättiin raskauttava peruste, jos rikoksen motiivina katsotaan olevan hallitusjärjestyksen kyseenalaistaminen. </w:t>
      </w:r>
      <w:r w:rsidR="004818E3">
        <w:t>Rangaistukseksi voidaan langettaa</w:t>
      </w:r>
      <w:r w:rsidRPr="00EB2088">
        <w:t xml:space="preserve"> sakot, yhdyskuntapalvelu tai jopa kolmen vuoden vankeus.</w:t>
      </w:r>
      <w:r w:rsidR="000263D7">
        <w:rPr>
          <w:rStyle w:val="Alaviitteenviite"/>
        </w:rPr>
        <w:footnoteReference w:id="19"/>
      </w:r>
    </w:p>
    <w:p w14:paraId="3486253E" w14:textId="532D60E7" w:rsidR="004332A7" w:rsidRDefault="00EB2088" w:rsidP="00590663">
      <w:r>
        <w:t xml:space="preserve">Georgian viranomaiset ovat hyväksyneet myös muita kansalaisvapauksia ja kansalaisyhteiskunnan </w:t>
      </w:r>
      <w:r w:rsidR="004818E3">
        <w:t>toimintamahdollisuuksia</w:t>
      </w:r>
      <w:r>
        <w:t xml:space="preserve"> merkittävästi kaventavia lakeja. M</w:t>
      </w:r>
      <w:r w:rsidR="009D0599" w:rsidRPr="00EB2088">
        <w:t>edian vapautta on rajoitettu muun muassa</w:t>
      </w:r>
      <w:r w:rsidR="00207DAB" w:rsidRPr="00EB2088">
        <w:t xml:space="preserve"> rajoittamalla oikeudenkäyntien julkisuutta ja laajentamalla kunnianloukkausta koskevia säännöksiä. </w:t>
      </w:r>
      <w:r w:rsidR="00EB4404" w:rsidRPr="00EB2088">
        <w:t>Hallinnollisia rikkomuksia koskevaan lainsäädäntöön ja rikoslakiin tehdyt muutokset ovat lisänneet rangaistuksia kokoontumis- ja mielenosoituslain rikkomisista.</w:t>
      </w:r>
      <w:r w:rsidR="00207DAB" w:rsidRPr="00EB2088">
        <w:t xml:space="preserve"> Lisäksi kansalaisjärjestöt on suljettu pois julkisesta päätöksenteosta. Samoin niin sanottu </w:t>
      </w:r>
      <w:r w:rsidR="00FE171F" w:rsidRPr="00EB2088">
        <w:t>”</w:t>
      </w:r>
      <w:r w:rsidR="00207DAB" w:rsidRPr="00EB2088">
        <w:t>LGBT-propaganda</w:t>
      </w:r>
      <w:r w:rsidR="00FE171F" w:rsidRPr="00EB2088">
        <w:t>”</w:t>
      </w:r>
      <w:r w:rsidR="00207DAB" w:rsidRPr="00EB2088">
        <w:t xml:space="preserve"> on kielletty ja sukupuolenkorjaukseen liittyvää terveydenhuoltoa on rajoitettu</w:t>
      </w:r>
      <w:r w:rsidR="004332A7" w:rsidRPr="00EB2088">
        <w:t xml:space="preserve"> </w:t>
      </w:r>
      <w:bookmarkStart w:id="3" w:name="_Hlk224392202"/>
      <w:r w:rsidR="004332A7" w:rsidRPr="00EB2088">
        <w:t>(laki perhearvoista ja lasten suojelusta</w:t>
      </w:r>
      <w:bookmarkEnd w:id="3"/>
      <w:r>
        <w:t>)</w:t>
      </w:r>
      <w:r w:rsidR="00207DAB" w:rsidRPr="00EB2088">
        <w:t>.</w:t>
      </w:r>
      <w:r w:rsidR="000263D7">
        <w:rPr>
          <w:rStyle w:val="Alaviitteenviite"/>
        </w:rPr>
        <w:footnoteReference w:id="20"/>
      </w:r>
    </w:p>
    <w:p w14:paraId="25832282" w14:textId="191A38AF" w:rsidR="003F56FA" w:rsidRPr="004818E3" w:rsidRDefault="00835F8D" w:rsidP="00835F8D">
      <w:r w:rsidRPr="00D6210B">
        <w:lastRenderedPageBreak/>
        <w:t>Euroopan komission marraskuussa 2025 julkaistussa raportissa todetaan, että u</w:t>
      </w:r>
      <w:r w:rsidR="00EB4404" w:rsidRPr="00D6210B">
        <w:t>seat Georgian demokratian kannalta keskeiset instituutiot ja elimet</w:t>
      </w:r>
      <w:r w:rsidR="004818E3">
        <w:t>, kuten</w:t>
      </w:r>
      <w:r w:rsidR="004818E3" w:rsidRPr="004818E3">
        <w:t xml:space="preserve"> </w:t>
      </w:r>
      <w:r w:rsidR="004818E3" w:rsidRPr="00D6210B">
        <w:t>keskusvaalilautakunta, viestintäkomissio, oikeusneuvosto, perustuslakituomioistuin, syyttäjänvirasto, korruptionvastainen toimisto, keskuspankki sekä lainvalvonta- ja turvallisuusviranomaiset</w:t>
      </w:r>
      <w:r w:rsidR="004818E3">
        <w:t>,</w:t>
      </w:r>
      <w:r w:rsidR="008A30C6">
        <w:t xml:space="preserve"> </w:t>
      </w:r>
      <w:r w:rsidR="00EB4404" w:rsidRPr="00D6210B">
        <w:t>eivät ole puolueettomia ja riippumattomia.</w:t>
      </w:r>
      <w:r w:rsidR="00EB4404" w:rsidRPr="00D6210B">
        <w:rPr>
          <w:vertAlign w:val="superscript"/>
        </w:rPr>
        <w:footnoteReference w:id="21"/>
      </w:r>
      <w:r w:rsidRPr="00D6210B">
        <w:rPr>
          <w:vertAlign w:val="superscript"/>
        </w:rPr>
        <w:t xml:space="preserve"> </w:t>
      </w:r>
    </w:p>
    <w:p w14:paraId="4FF7325C" w14:textId="3F33860D" w:rsidR="00835F8D" w:rsidRPr="00D6210B" w:rsidRDefault="00835F8D" w:rsidP="00D6210B">
      <w:r w:rsidRPr="00D6210B">
        <w:t xml:space="preserve">Global Initiative Against Transnational Organized Crime -järjestön </w:t>
      </w:r>
      <w:r w:rsidR="00BD0704" w:rsidRPr="00D6210B">
        <w:t>mukaan</w:t>
      </w:r>
      <w:r w:rsidRPr="00D6210B">
        <w:t xml:space="preserve"> Georgiassa virallisten instituutioiden rinnalla </w:t>
      </w:r>
      <w:r w:rsidR="00BD0704" w:rsidRPr="00D6210B">
        <w:t xml:space="preserve">toimiva </w:t>
      </w:r>
      <w:r w:rsidRPr="00D6210B">
        <w:t>epävirallinen vallankäytön verkosto</w:t>
      </w:r>
      <w:r w:rsidR="00BD0704" w:rsidRPr="00D6210B">
        <w:t xml:space="preserve"> </w:t>
      </w:r>
      <w:r w:rsidR="003F56FA" w:rsidRPr="00D6210B">
        <w:t xml:space="preserve">on </w:t>
      </w:r>
      <w:r w:rsidR="00BD0704" w:rsidRPr="00D6210B">
        <w:t>lisännyt merkittävästi korkean tason korruptiota</w:t>
      </w:r>
      <w:r w:rsidR="003F56FA" w:rsidRPr="00D6210B">
        <w:t xml:space="preserve">. </w:t>
      </w:r>
      <w:r w:rsidRPr="00D6210B">
        <w:t xml:space="preserve">Transparency International Georgia on dokumentoinut vuodesta 2016 lähtien 206 epäiltyä korruptiotapausta, </w:t>
      </w:r>
      <w:r w:rsidR="00074FB9">
        <w:t>joissa on osallisina</w:t>
      </w:r>
      <w:r w:rsidRPr="00D6210B">
        <w:t xml:space="preserve"> </w:t>
      </w:r>
      <w:r w:rsidR="00BD0704" w:rsidRPr="00D6210B">
        <w:t>tuomareita, parlamentaarikkoja, ministereitä ja paikallisvirkamiehiä</w:t>
      </w:r>
      <w:r w:rsidRPr="00D6210B">
        <w:t>.</w:t>
      </w:r>
      <w:r w:rsidR="00BD0704" w:rsidRPr="00D6210B">
        <w:t xml:space="preserve"> Vaikka yksityiskohtaisesti dokumentoituja korruptiotapauksia on suuri määrä, etenevät ne vain harvoin tutkintaviranomaisille</w:t>
      </w:r>
      <w:r w:rsidR="00415000" w:rsidRPr="00D6210B">
        <w:t xml:space="preserve">, mikä viittaa rankaisemattomuuden kulttuuriin. </w:t>
      </w:r>
      <w:r w:rsidRPr="00D6210B">
        <w:t>Näissä olosuhteissa poliittisen vallan, yksityisten etujen ja rikollisuuden rajat hämärtyvät.</w:t>
      </w:r>
      <w:r w:rsidR="003F56FA" w:rsidRPr="00D6210B">
        <w:t xml:space="preserve"> </w:t>
      </w:r>
      <w:r w:rsidR="00415000" w:rsidRPr="00D6210B">
        <w:t>Rikollisryhmiä käytetään vaalivaikuttamiseen, äänestäjien pelotteluun ja poliittisten vastustajien häirintään, ja jotkut virkamiehet tekevät jopa liiketoimintaa rikollisverkostojen kanssa.</w:t>
      </w:r>
      <w:r w:rsidR="003F56FA" w:rsidRPr="00D6210B">
        <w:rPr>
          <w:rStyle w:val="Alaviitteenviite"/>
        </w:rPr>
        <w:footnoteReference w:id="22"/>
      </w:r>
      <w:r w:rsidR="00415000" w:rsidRPr="00D6210B">
        <w:t xml:space="preserve"> Freedom House -järjestön mukaan k</w:t>
      </w:r>
      <w:r w:rsidRPr="00D6210B">
        <w:t xml:space="preserve">orruptio jatkuu Georgiassa monilla eri aloilla. Riippumattomien lainvalvontaelinten ja riippumattoman oikeuslaitoksen </w:t>
      </w:r>
      <w:r w:rsidR="00074FB9">
        <w:t>puuttuminen</w:t>
      </w:r>
      <w:r w:rsidRPr="00D6210B">
        <w:t xml:space="preserve"> estää korruptionvastaisen lainsäädännön tehokasta täytäntöönpanoa. Menestyksekkäät </w:t>
      </w:r>
      <w:r w:rsidR="00074FB9">
        <w:t>korruptiotutkinnat</w:t>
      </w:r>
      <w:r w:rsidRPr="00D6210B">
        <w:t xml:space="preserve"> korkeiden virkamiesten tai heidän lähipiirinsä jäsenten saattamiseksi vastuuseen ovat harvinaisia.</w:t>
      </w:r>
      <w:r w:rsidRPr="00D6210B">
        <w:rPr>
          <w:rStyle w:val="Alaviitteenviite"/>
        </w:rPr>
        <w:footnoteReference w:id="23"/>
      </w:r>
    </w:p>
    <w:p w14:paraId="10F1A4E8" w14:textId="7B6E91A0" w:rsidR="0015077E" w:rsidRPr="00D6210B" w:rsidRDefault="0015077E" w:rsidP="00802F2D">
      <w:pPr>
        <w:pStyle w:val="Numeroimatonotsikko"/>
      </w:pPr>
      <w:r w:rsidRPr="00D6210B">
        <w:t>Mielenosoitukset</w:t>
      </w:r>
    </w:p>
    <w:p w14:paraId="1B958487" w14:textId="44133F49" w:rsidR="004A7880" w:rsidRPr="004A7880" w:rsidRDefault="0015077E" w:rsidP="00EB6698">
      <w:r w:rsidRPr="00D6210B">
        <w:t xml:space="preserve">Vuosien 2023 ja 2024 aikana Georgiassa järjestettiin laajoja mielenosoituksia niin </w:t>
      </w:r>
      <w:r w:rsidR="00802F2D" w:rsidRPr="00D6210B">
        <w:t>sanottua ulkomaisia agentteja koskevaa lakia</w:t>
      </w:r>
      <w:r w:rsidRPr="00D6210B">
        <w:t xml:space="preserve"> vastaan. Poliittinen tilanne kiristyi entisestään</w:t>
      </w:r>
      <w:r w:rsidR="00EB6698" w:rsidRPr="00D6210B">
        <w:t xml:space="preserve"> </w:t>
      </w:r>
      <w:r w:rsidR="00802F2D" w:rsidRPr="00D6210B">
        <w:t xml:space="preserve">kiistanalaisten </w:t>
      </w:r>
      <w:r w:rsidRPr="00D6210B">
        <w:t>parlamenttivaalien jälkeen</w:t>
      </w:r>
      <w:r w:rsidR="00EB6698" w:rsidRPr="00D6210B">
        <w:t xml:space="preserve"> syksyllä 2024, jolloin vaalitulokset ja pääministeri Irakli Kobakhidzen ilmoitus EU-jäsenyysprosessin keskeyttämisestä synnyttivät uusia protesteja.</w:t>
      </w:r>
      <w:r w:rsidR="00EB6698" w:rsidRPr="00D6210B">
        <w:rPr>
          <w:rStyle w:val="Alaviitteenviite"/>
        </w:rPr>
        <w:footnoteReference w:id="24"/>
      </w:r>
      <w:r w:rsidR="00D6210B" w:rsidRPr="00D6210B">
        <w:t xml:space="preserve"> </w:t>
      </w:r>
      <w:r w:rsidR="00EB6698" w:rsidRPr="00D6210B">
        <w:t xml:space="preserve">Myös vuosina 2025 ja 2026 </w:t>
      </w:r>
      <w:r w:rsidR="00D6210B">
        <w:t>oli</w:t>
      </w:r>
      <w:r w:rsidR="00EB6698" w:rsidRPr="00D6210B">
        <w:t xml:space="preserve"> uusia mielenosoitusten aaltoja. Lokakuussa 2025 </w:t>
      </w:r>
      <w:r w:rsidR="004A7880" w:rsidRPr="00D6210B">
        <w:t xml:space="preserve">kunnallisvaalien jälkeen </w:t>
      </w:r>
      <w:r w:rsidR="00EB6698" w:rsidRPr="00D6210B">
        <w:t>osa mielenosoittajista yritti tunkeutua presidentinlinnaan, ja jotkut heittivät esineitä kohti poliisia tai häikäisivät heitä lasereilla. Valtaosa mielenosoittajista pysyi kuitenkin rauhanomaisina.</w:t>
      </w:r>
      <w:r w:rsidRPr="00D6210B">
        <w:rPr>
          <w:rStyle w:val="Alaviitteenviite"/>
        </w:rPr>
        <w:footnoteReference w:id="25"/>
      </w:r>
      <w:r w:rsidR="00EB6698" w:rsidRPr="00D6210B">
        <w:rPr>
          <w:rStyle w:val="Alaviitteenviite"/>
        </w:rPr>
        <w:t xml:space="preserve"> </w:t>
      </w:r>
      <w:r w:rsidRPr="00D6210B">
        <w:t xml:space="preserve">  </w:t>
      </w:r>
      <w:r w:rsidR="004A7880" w:rsidRPr="00D6210B">
        <w:t>Poliisin kerrotaan pidättäneen</w:t>
      </w:r>
      <w:r w:rsidR="00D6210B">
        <w:t xml:space="preserve"> lokakuun 2025 tapahtumien jälkeen</w:t>
      </w:r>
      <w:r w:rsidR="004A7880" w:rsidRPr="00D6210B">
        <w:t xml:space="preserve"> yli 60 henkilöä syytettyinä väkivaltaisen vallankaappauksen lietsomisesta ja yrityksestä muuttaa perustuslaillista järjestystä.</w:t>
      </w:r>
      <w:r w:rsidR="004A7880" w:rsidRPr="00D6210B">
        <w:rPr>
          <w:rStyle w:val="Alaviitteenviite"/>
        </w:rPr>
        <w:footnoteReference w:id="26"/>
      </w:r>
    </w:p>
    <w:p w14:paraId="5628067A" w14:textId="322DDF51" w:rsidR="0015077E" w:rsidRPr="00D6210B" w:rsidRDefault="005429C0" w:rsidP="00074FB9">
      <w:r w:rsidRPr="00D6210B">
        <w:t xml:space="preserve">Euroopan komission </w:t>
      </w:r>
      <w:r w:rsidR="00D6210B">
        <w:t>mukaan Georgian</w:t>
      </w:r>
      <w:r w:rsidRPr="00D6210B">
        <w:t xml:space="preserve"> viranomaiset vastasivat EU-jäsenyysprosessin keskeyttämisestä seuranneisiin mielenosoituksiin liiallisella väkivallalla ja kovilla tukahduttamistoimilla. Rauhanomaiset mielenosoittajat, toimittajat ja opposition edustajat ovat joutuneet viranomaistoimien, muun muassa mielivaltaisten pidätysten, kohteeksi </w:t>
      </w:r>
      <w:r w:rsidR="00074FB9">
        <w:t>toteuttaessaan perusoikeuksiaan</w:t>
      </w:r>
      <w:r w:rsidRPr="00D6210B">
        <w:t>.</w:t>
      </w:r>
      <w:r w:rsidRPr="00D6210B">
        <w:rPr>
          <w:rStyle w:val="Alaviitteenviite"/>
        </w:rPr>
        <w:footnoteReference w:id="27"/>
      </w:r>
      <w:r w:rsidRPr="00D6210B">
        <w:t xml:space="preserve"> </w:t>
      </w:r>
      <w:r w:rsidR="00D6210B">
        <w:t>Ihmisoikeusjärjestö Human Rights Watchin (</w:t>
      </w:r>
      <w:r w:rsidRPr="00D6210B">
        <w:t>HRW</w:t>
      </w:r>
      <w:r w:rsidR="00D6210B">
        <w:t>)</w:t>
      </w:r>
      <w:r w:rsidRPr="00D6210B">
        <w:t xml:space="preserve"> joulukuussa 2025 </w:t>
      </w:r>
      <w:r w:rsidR="00074FB9">
        <w:t>julkaiseman</w:t>
      </w:r>
      <w:r w:rsidRPr="00D6210B">
        <w:t xml:space="preserve"> artikkelin mukaan viranomaiset ovat vastanneet protesteihin väkivallalla, ja paikalliset oikeusjärjestöt ovat dokumentoineet satoja pidätyksiä sekä tuhansia </w:t>
      </w:r>
      <w:r w:rsidR="00074FB9">
        <w:lastRenderedPageBreak/>
        <w:t>langetettuja sakkorangaistuksia</w:t>
      </w:r>
      <w:r w:rsidRPr="00D6210B">
        <w:t xml:space="preserve"> </w:t>
      </w:r>
      <w:r w:rsidR="00074FB9">
        <w:t>väitetystä</w:t>
      </w:r>
      <w:r w:rsidRPr="00D6210B">
        <w:t xml:space="preserve"> mielenosoitussääntöjen rikkomisesta.</w:t>
      </w:r>
      <w:r w:rsidRPr="00D6210B">
        <w:rPr>
          <w:rStyle w:val="Alaviitteenviite"/>
        </w:rPr>
        <w:footnoteReference w:id="28"/>
      </w:r>
      <w:r w:rsidRPr="00D6210B">
        <w:t xml:space="preserve"> </w:t>
      </w:r>
      <w:r w:rsidR="009D03DC" w:rsidRPr="00D6210B">
        <w:t xml:space="preserve">Etyj:n </w:t>
      </w:r>
      <w:r w:rsidR="009C30F9" w:rsidRPr="00D6210B">
        <w:t xml:space="preserve">raportissa kerrotaan </w:t>
      </w:r>
      <w:r w:rsidRPr="00D6210B">
        <w:t>poikkeuksellisen kovista toimista, joita turvallisuusjoukot käyttivät mielenosoittajia vastaan. Käytettyihin keinoihin kuuluivat pippurisumute, kyynelkaasu ja muut kemialliset ärsykkeet, vesitykit, kumiluodit, pahoinpitelyt ja mielenosoittajien jahtaaminen. Osa kemikaaleista aiheutti myrkytysoireita ja pitkäkestoisia terveysvaikutuksia.</w:t>
      </w:r>
      <w:r w:rsidR="009C30F9" w:rsidRPr="00D6210B">
        <w:t xml:space="preserve"> Julkisesti saatavilla olevat videot ja todistajanlausunnot osoittavat, että poliisit ja tunnistamattomat henkilöt pahoinpitelivät mielenosoittajia, uhkailivat heitä raiskauksella ja kuolemalla ja joissain tapauksissa käyttivät kyynelkaasua suljetuissa tiloissa. Mielenosoittajiin kohdistettiin myös sukupuoleen perustuvaa väkivaltaa, kuten seksuaalisia uhkauksia ja nöyryyttäviä tarkastuksia. Amnesty Internationalin mukaan pelkästään vuonna 2024 yli 500 mielenosoittajaa pidätettiin, ja heistä ainakin 300 kertoi kidutuksesta tai muusta kaltoinkohtelusta. </w:t>
      </w:r>
      <w:r w:rsidR="00074FB9">
        <w:t>Euroopan kidutuksen vastainen komitea ja Georgian oikeusasiamies raportoivat pidätettyihin mielenosoittajiin kohdistetusta</w:t>
      </w:r>
      <w:r w:rsidR="00074FB9">
        <w:t xml:space="preserve"> </w:t>
      </w:r>
      <w:r w:rsidR="00074FB9">
        <w:t>laajasta ja järjestelmällisestä väkivallasta.</w:t>
      </w:r>
      <w:r w:rsidR="005D3C53" w:rsidRPr="00D6210B">
        <w:t xml:space="preserve"> Etyj:n r</w:t>
      </w:r>
      <w:r w:rsidR="009C30F9" w:rsidRPr="00D6210B">
        <w:t>aportoijan mukaan osa kuvatuista kaltoinkohtelun muodoista saattoi täyttää kidutuksen tunnusmerkistön.</w:t>
      </w:r>
      <w:r w:rsidR="009C30F9" w:rsidRPr="00D6210B">
        <w:rPr>
          <w:rStyle w:val="Alaviitteenviite"/>
        </w:rPr>
        <w:footnoteReference w:id="29"/>
      </w:r>
      <w:r w:rsidR="005D3C53" w:rsidRPr="00D6210B">
        <w:t xml:space="preserve"> </w:t>
      </w:r>
      <w:bookmarkStart w:id="4" w:name="_Hlk224544308"/>
      <w:r w:rsidR="009D03DC" w:rsidRPr="00D6210B">
        <w:rPr>
          <w:i/>
          <w:iCs/>
        </w:rPr>
        <w:t>Syksyn 2024 mielenosoituksia ja mielenosoittajiin kohdistuneita oikeudenloukkauksia on käsitelty kattavasti 23.5.2025 julkaistussa kyselyvastauksessa.</w:t>
      </w:r>
      <w:r w:rsidR="009D03DC" w:rsidRPr="00D6210B">
        <w:rPr>
          <w:rStyle w:val="Alaviitteenviite"/>
          <w:i/>
          <w:iCs/>
        </w:rPr>
        <w:footnoteReference w:id="30"/>
      </w:r>
      <w:bookmarkEnd w:id="4"/>
    </w:p>
    <w:p w14:paraId="5BB1BDD4" w14:textId="6FA91DEC" w:rsidR="0095433D" w:rsidRPr="00D6210B" w:rsidRDefault="0095433D" w:rsidP="00D93B0F">
      <w:pPr>
        <w:pStyle w:val="Numeroimatonotsikko"/>
      </w:pPr>
      <w:r w:rsidRPr="00D6210B">
        <w:t xml:space="preserve">Opposition ja </w:t>
      </w:r>
      <w:r w:rsidR="00074FB9">
        <w:t>kritiikin</w:t>
      </w:r>
      <w:r w:rsidRPr="00D6210B">
        <w:t xml:space="preserve"> vaimentaminen</w:t>
      </w:r>
      <w:r w:rsidR="00EF38A4">
        <w:t xml:space="preserve"> </w:t>
      </w:r>
    </w:p>
    <w:p w14:paraId="6C78AB51" w14:textId="5E9C22EB" w:rsidR="00D64B72" w:rsidRPr="00D6210B" w:rsidRDefault="00D64B72" w:rsidP="00D64B72">
      <w:pPr>
        <w:rPr>
          <w:vertAlign w:val="superscript"/>
        </w:rPr>
      </w:pPr>
      <w:r w:rsidRPr="00D6210B">
        <w:t xml:space="preserve">Euroopan komission raportin mukaan </w:t>
      </w:r>
      <w:r w:rsidR="00EB4404" w:rsidRPr="00D6210B">
        <w:t xml:space="preserve">Georgian viranomaiset </w:t>
      </w:r>
      <w:r w:rsidR="00EF38A4">
        <w:t>ovat turvautuneet</w:t>
      </w:r>
      <w:r w:rsidR="00EB4404" w:rsidRPr="00D6210B">
        <w:t xml:space="preserve"> yhä useammin pelotteluun ja väkivaltaan vaientaakseen kriittiset äänet. Raportointijaksolla havaittiin jatkuvaa vihamielistä retoriikkaa sekä lisääntyviä pelottelun, uhkailun ja fyysisen väkivallan tapauksia kansalaisyhteiskunnan toimijoita, oppositiopoliitikkoja, aktivisteja ja toimittajia kohtaan</w:t>
      </w:r>
      <w:r w:rsidR="008A30C6">
        <w:t>.</w:t>
      </w:r>
      <w:r w:rsidR="00EB4404" w:rsidRPr="00D6210B">
        <w:rPr>
          <w:vertAlign w:val="superscript"/>
        </w:rPr>
        <w:footnoteReference w:id="31"/>
      </w:r>
      <w:r w:rsidR="00D6210B" w:rsidRPr="00D6210B">
        <w:rPr>
          <w:vertAlign w:val="superscript"/>
        </w:rPr>
        <w:t xml:space="preserve"> </w:t>
      </w:r>
      <w:r w:rsidRPr="00D6210B">
        <w:t xml:space="preserve">Etyj:n raportissa kuvaillaan laajaa ja jatkuvaa painostusta </w:t>
      </w:r>
      <w:r w:rsidR="00074FB9">
        <w:t>hallitusta kritisoineita</w:t>
      </w:r>
      <w:r w:rsidRPr="00D6210B">
        <w:t xml:space="preserve"> kohtaan. Viranomaiset ja hallitusta lähellä olevat toimijat ovat kohdistaneet painetta, valvontaa, mustamaalausta ja oikeustoimia kriittisiin tutkijoihin, oppositioon, kansalaisjärjestöihin, toimittajiin ja länsimaiden diplomaatteihin. Keinoina on käytetty muun muassa kotietsintöjä, valvontaa, mediakampanjoita, uhkailua, veroviranomaisten toimia ja julkista leimaamista. Lisäksi mielenosoituksiin osallistuneita on varoitettu uusista pidätyksistä.</w:t>
      </w:r>
      <w:r w:rsidRPr="00D6210B">
        <w:rPr>
          <w:rStyle w:val="Alaviitteenviite"/>
        </w:rPr>
        <w:footnoteReference w:id="32"/>
      </w:r>
    </w:p>
    <w:p w14:paraId="5FEBC797" w14:textId="56F7C07B" w:rsidR="00A44FD3" w:rsidRPr="0069291D" w:rsidRDefault="00146694" w:rsidP="00EB4404">
      <w:r w:rsidRPr="0069291D">
        <w:t>Kesä</w:t>
      </w:r>
      <w:r w:rsidR="00D6210B" w:rsidRPr="0069291D">
        <w:t>–</w:t>
      </w:r>
      <w:r w:rsidRPr="0069291D">
        <w:t>heinäkuussa 2025 k</w:t>
      </w:r>
      <w:r w:rsidR="00EB4404" w:rsidRPr="0069291D">
        <w:t>ahdeksan oppositiohahmoa tuomittiin 7–8 kuukauden vankeusrangaistuksiin</w:t>
      </w:r>
      <w:r w:rsidRPr="0069291D">
        <w:t xml:space="preserve">, koska he eivät </w:t>
      </w:r>
      <w:r w:rsidR="0069291D" w:rsidRPr="0069291D">
        <w:t>saapuneet</w:t>
      </w:r>
      <w:r w:rsidRPr="0069291D">
        <w:t xml:space="preserve"> parlamentin tutkintavaliokunnan kuultaviksi. He menettivät myös kahdeksi vuodeksi oikeuden toimia julkisissa viroissa. Syyskuussa 2025 Georgian presidentti armahti kaksi vangituista poliitikoista. Useita opposition johtajia vastaan on nostettu muitakin vakavia rikossyytteitä, kuten avunanto vieraan valtion vihamieliseen toimintaan, sabotaasi ja osallistuminen joukkoväkivaltaan. Lisäksi muita poliitikkoja vastaan on käynnistetty rikosprosesseja, joiden väitetään olevan poliittisista syistä johtuvia.</w:t>
      </w:r>
      <w:r w:rsidRPr="0069291D">
        <w:rPr>
          <w:vertAlign w:val="superscript"/>
        </w:rPr>
        <w:footnoteReference w:id="33"/>
      </w:r>
      <w:r w:rsidRPr="0069291D">
        <w:t xml:space="preserve"> </w:t>
      </w:r>
    </w:p>
    <w:p w14:paraId="5B5EFBAE" w14:textId="4A322D9F" w:rsidR="00A44FD3" w:rsidRPr="00A44FD3" w:rsidRDefault="00A44FD3" w:rsidP="00A44FD3">
      <w:r w:rsidRPr="0069291D">
        <w:t xml:space="preserve">Etyj:n raportin mukaan opposition edustajat kertovat olevansa jatkuvan painostuksen kohteena. Heihin on kohdistunut fyysisiä hyökkäyksiä, ja heidän perheenjäseniään on siepattu ja uhkailtu tarkoituksena pakottaa heidät luopumaan </w:t>
      </w:r>
      <w:r w:rsidR="00074FB9">
        <w:t>poliittisesta toiminnastaan</w:t>
      </w:r>
      <w:r w:rsidRPr="0069291D">
        <w:t>. Heidän toimistoihinsa ja koteihinsa on tehty ratsioita, ja heidän omaisuuttaan on vahingoitettu. Opposition mukaan he joutuvat toimimaan fyysisen ja psykologisen terrorin ilmapiirissä, jossa väkivallan uhka ja jatkuva pelottelu ovat läsnä.</w:t>
      </w:r>
      <w:r w:rsidRPr="0069291D">
        <w:rPr>
          <w:rStyle w:val="Alaviitteenviite"/>
        </w:rPr>
        <w:footnoteReference w:id="34"/>
      </w:r>
    </w:p>
    <w:p w14:paraId="52E1C5CF" w14:textId="09FEF954" w:rsidR="00E7080F" w:rsidRPr="00552E89" w:rsidRDefault="00146694" w:rsidP="00752CF1">
      <w:r w:rsidRPr="0069291D">
        <w:lastRenderedPageBreak/>
        <w:t xml:space="preserve">Euroopan komission mukaan </w:t>
      </w:r>
      <w:r w:rsidR="00A44FD3" w:rsidRPr="0069291D">
        <w:t>oppositiohahmoihin kohdistuvat</w:t>
      </w:r>
      <w:r w:rsidRPr="0069291D">
        <w:t xml:space="preserve"> </w:t>
      </w:r>
      <w:r w:rsidR="00A44FD3" w:rsidRPr="0069291D">
        <w:t>tuomiot</w:t>
      </w:r>
      <w:r w:rsidRPr="0069291D">
        <w:t xml:space="preserve"> osoittavat, että </w:t>
      </w:r>
      <w:r w:rsidR="0069291D">
        <w:t>Georgialainen unelma -valtapuolue</w:t>
      </w:r>
      <w:r w:rsidR="00A44FD3" w:rsidRPr="0069291D">
        <w:t xml:space="preserve"> käyttää oikeusjärjestelmää poliittisiin tarkoituksiin. Valtapuolue </w:t>
      </w:r>
      <w:r w:rsidR="00EB4404" w:rsidRPr="0069291D">
        <w:t>ilmoitti ennen vuoden 2024 parlamenttivaaleja tavoitteekseen luoda edellytykset sille, että perustuslakituomioistuin voisi kieltää oppositiopuolueet. Tämä kehitys uhkaa vakavasti demokraattista moniarvoisuutta.</w:t>
      </w:r>
      <w:bookmarkStart w:id="5" w:name="_Hlk223613960"/>
      <w:r w:rsidR="00EB4404" w:rsidRPr="0069291D">
        <w:rPr>
          <w:vertAlign w:val="superscript"/>
        </w:rPr>
        <w:footnoteReference w:id="35"/>
      </w:r>
      <w:bookmarkEnd w:id="5"/>
      <w:r w:rsidR="00A44FD3" w:rsidRPr="0069291D">
        <w:t xml:space="preserve"> Etyj:n raportin mukaan vuonna 2025 parlamentti muutti lakeja niin, että poliittisten puolueiden kieltäminen helpottui. Lokakuussa 2025 parlamentti ilmoitti aloittavansa prosessin kolmen keskeisen oppositiopuolueen kieltämiseksi. Samaan aikaan pääministeri Irakli Kobakhidze kertoi, että vastaavia toimia aiotaan kohdistaa jopa kymmeneen puolueeseen.</w:t>
      </w:r>
      <w:r w:rsidR="00A44FD3" w:rsidRPr="0069291D">
        <w:rPr>
          <w:rStyle w:val="Alaviitteenviite"/>
        </w:rPr>
        <w:footnoteReference w:id="36"/>
      </w:r>
    </w:p>
    <w:p w14:paraId="4A913DCC" w14:textId="77777777" w:rsidR="009778BB" w:rsidRPr="0069291D" w:rsidRDefault="009778BB" w:rsidP="009778BB">
      <w:pPr>
        <w:pStyle w:val="Otsikko1"/>
        <w:numPr>
          <w:ilvl w:val="0"/>
          <w:numId w:val="30"/>
        </w:numPr>
      </w:pPr>
      <w:r w:rsidRPr="0069291D">
        <w:t xml:space="preserve">Millainen on Georgian turvallisuustilanne? </w:t>
      </w:r>
    </w:p>
    <w:p w14:paraId="40FCA3B6" w14:textId="0C1669A4" w:rsidR="009778BB" w:rsidRPr="0069291D" w:rsidRDefault="009778BB" w:rsidP="00183B83">
      <w:r w:rsidRPr="0069291D">
        <w:t>Puolan ulkomaalaisviraston maatietoyksikön lokakuussa 2025 julkaiseman raportin mukaan Georgian turvallisuustilanne on tällä hetkellä vakaa. Georgian keskushallinto ei kuitenkaan hallitse Etelä-Ossetian ja Abhasian alueita. Raportissa todetaan, viitaten ACLED (Armed Conflict Location &amp; Event Data Project) -konfliktitietokanna</w:t>
      </w:r>
      <w:r w:rsidR="00074FB9">
        <w:t>n a</w:t>
      </w:r>
      <w:r w:rsidRPr="0069291D">
        <w:t>ikaväliä 1.1.2023–12.9.2025 koskeviin tietoihin, että vuonna 2023 Georgiassa kuoli kaksi henkilöä erilaisissa turvallisuusvälikohtauksissa, kun taas vuonna 2024 kirjattiin yksi kuolemantapaus. Aikavälillä 1.1.2025–12.9.2025 Georgiassa ei raportoitu yhtään</w:t>
      </w:r>
      <w:r w:rsidR="008A30C6">
        <w:t xml:space="preserve"> turvallisuusvälikohtauksiin liittyvää</w:t>
      </w:r>
      <w:r w:rsidRPr="0069291D">
        <w:t xml:space="preserve"> kuolemantapausta.</w:t>
      </w:r>
      <w:r w:rsidR="0069291D">
        <w:t xml:space="preserve"> </w:t>
      </w:r>
      <w:r w:rsidRPr="0069291D">
        <w:t xml:space="preserve">Georgiassa ei </w:t>
      </w:r>
      <w:r w:rsidR="00183B83">
        <w:t>ollut havaittu syyskuuhun 2025 asti ulottuneella tarkastelujaksolla laittomien aseellisten ryhmien toimintaa viimeisen vajaan kolmen vuoden aikana</w:t>
      </w:r>
      <w:r w:rsidRPr="0069291D">
        <w:t>, lukuun ottamatta muutamia tapauksia, joissa tunnistamattomat aseistetut ryhmät, joita kutsutaan joskus nimellä ”</w:t>
      </w:r>
      <w:r w:rsidR="0069291D">
        <w:t>t</w:t>
      </w:r>
      <w:r w:rsidR="0069291D" w:rsidRPr="0069291D">
        <w:t>itušky</w:t>
      </w:r>
      <w:r w:rsidRPr="0069291D">
        <w:t>”</w:t>
      </w:r>
      <w:r w:rsidRPr="0069291D">
        <w:rPr>
          <w:rStyle w:val="Alaviitteenviite"/>
        </w:rPr>
        <w:footnoteReference w:id="37"/>
      </w:r>
      <w:r w:rsidRPr="0069291D">
        <w:t>, hyökkäsivät pääasiassa toimittajien ja</w:t>
      </w:r>
      <w:r w:rsidR="0069291D" w:rsidRPr="0069291D">
        <w:t xml:space="preserve"> </w:t>
      </w:r>
      <w:r w:rsidRPr="0069291D">
        <w:t>oppositiopuolueen jäsenten kimppuun ennen vuoden 2024 vaaleja. Samankaltaisia hyökkäyksiä aktivisteja vastaan tapahtui myös vuonna 2025.</w:t>
      </w:r>
      <w:r w:rsidR="0069291D">
        <w:t xml:space="preserve"> </w:t>
      </w:r>
      <w:r w:rsidRPr="0069291D">
        <w:t xml:space="preserve">ACLED:n tietojen mukaan vuonna 2023 Georgiassa kuoli kaksi siviiliä erilaisissa välikohtauksissa. Välikohtaukset tapahtuivat alueilla, jotka eivät ole Georgian viranomaisten hallinnassa eli Abhasiassa ja Etelä-Ossetiassa. Vuonna 2024 kirjattiin yksi siviiliuhri, niin ikään Abhasiassa. Aikavälillä 1.1.2025–12.9.2025 Georgiassa ei raportoitu </w:t>
      </w:r>
      <w:r w:rsidR="00542018">
        <w:t>siviiliuhreja</w:t>
      </w:r>
      <w:r w:rsidRPr="0069291D">
        <w:t>.</w:t>
      </w:r>
      <w:r w:rsidR="0069291D">
        <w:t xml:space="preserve"> </w:t>
      </w:r>
      <w:r w:rsidR="00183B83">
        <w:t xml:space="preserve">Tarkastelujaksolla </w:t>
      </w:r>
      <w:r w:rsidR="00183B83" w:rsidRPr="0069291D">
        <w:t>1.1.2023–12.9.2025</w:t>
      </w:r>
      <w:r w:rsidRPr="0069291D">
        <w:t xml:space="preserve"> Georgiassa ei raportoitu </w:t>
      </w:r>
      <w:r w:rsidR="0069291D">
        <w:t>terrori-iskuja</w:t>
      </w:r>
      <w:r w:rsidRPr="0069291D">
        <w:t>.</w:t>
      </w:r>
      <w:r w:rsidRPr="0069291D">
        <w:rPr>
          <w:rStyle w:val="Alaviitteenviite"/>
        </w:rPr>
        <w:footnoteReference w:id="38"/>
      </w:r>
    </w:p>
    <w:p w14:paraId="37214679" w14:textId="0C317FFC" w:rsidR="009778BB" w:rsidRPr="007F05B7" w:rsidRDefault="009778BB" w:rsidP="009778BB">
      <w:r w:rsidRPr="0069291D">
        <w:t xml:space="preserve">Freedom House -järjestön vuonna 2025 julkaistussa, vuotta 2024 käsittelevässä katsauksessa todetaan, että Georgian ja Abhasian ja Etelä-Ossetian alueiden välillä on matkustusrajoituksia, ja henkilöt, jotka lähestyvät näiden alueiden tosiasiallisia rajoja, voivat joutua alueellisten tai venäläisten turvallisuusjoukkojen sieppaamiksi, kiduttamiksi tai </w:t>
      </w:r>
      <w:r w:rsidR="00542018">
        <w:t>tappamiksi</w:t>
      </w:r>
      <w:r w:rsidRPr="0069291D">
        <w:t>.</w:t>
      </w:r>
      <w:r w:rsidRPr="0069291D">
        <w:rPr>
          <w:rStyle w:val="Alaviitteenviite"/>
        </w:rPr>
        <w:footnoteReference w:id="39"/>
      </w:r>
    </w:p>
    <w:p w14:paraId="3821C913" w14:textId="17D86524" w:rsidR="009778BB" w:rsidRDefault="009778BB" w:rsidP="009778BB">
      <w:pPr>
        <w:pStyle w:val="Otsikko1"/>
        <w:numPr>
          <w:ilvl w:val="0"/>
          <w:numId w:val="30"/>
        </w:numPr>
      </w:pPr>
      <w:r>
        <w:t xml:space="preserve">Millaisia ihmisoikeusrikkomuksia Georgiassa on raportoitu? </w:t>
      </w:r>
    </w:p>
    <w:p w14:paraId="00C61110" w14:textId="4434BBA7" w:rsidR="00BE369A" w:rsidRPr="0069291D" w:rsidRDefault="005D65B2" w:rsidP="00341C25">
      <w:r w:rsidRPr="0069291D">
        <w:t xml:space="preserve">Yhdysvaltain ulkoministeriön </w:t>
      </w:r>
      <w:r w:rsidR="00341C25" w:rsidRPr="0069291D">
        <w:t xml:space="preserve">vuotta 2024 käsittelevän ihmisoikeusraportin mukaan Georgian merkittäviin </w:t>
      </w:r>
      <w:r w:rsidRPr="0069291D">
        <w:t xml:space="preserve">ihmisoikeusongelmiin kuuluivat uskottavat raportit kidutuksesta tai julmasta, epäinhimillisestä tai halventavasta kohtelusta tai rangaistuksesta, mielivaltaisista pidätyksistä ja vangitsemisista sekä vakavista </w:t>
      </w:r>
      <w:r w:rsidR="00341C25" w:rsidRPr="0069291D">
        <w:t>ilmaisun-</w:t>
      </w:r>
      <w:r w:rsidRPr="0069291D">
        <w:t xml:space="preserve"> ja medianvapauden rajoituksista. Näihin sisältyivät </w:t>
      </w:r>
      <w:r w:rsidR="00341C25" w:rsidRPr="0069291D">
        <w:lastRenderedPageBreak/>
        <w:t xml:space="preserve">muun muassa </w:t>
      </w:r>
      <w:r w:rsidRPr="0069291D">
        <w:t>väkivalta ja väkivallalla uhkailu kansalaisia ja toimittajia kohtaan, perusteettomat pidätykset ja toimittajien syytteeseen asettaminen.</w:t>
      </w:r>
      <w:r w:rsidRPr="0069291D">
        <w:rPr>
          <w:rStyle w:val="Alaviitteenviite"/>
        </w:rPr>
        <w:footnoteReference w:id="40"/>
      </w:r>
    </w:p>
    <w:p w14:paraId="72197620" w14:textId="0E8474BF" w:rsidR="006D1E23" w:rsidRPr="00291411" w:rsidRDefault="00416C98" w:rsidP="0079756E">
      <w:r w:rsidRPr="0069291D">
        <w:t xml:space="preserve">Kuten edellä </w:t>
      </w:r>
      <w:r w:rsidRPr="00291411">
        <w:t>todetaan viranomaiset ovat käyttäneet mielenosoittajiin poikkeuksellisen raakaa ja järjestelmällistä väkivaltaa ja osa kaltoinkohtelusta saattaa täyttää kidutuksen tunnusmerkistön</w:t>
      </w:r>
      <w:r w:rsidR="0079756E" w:rsidRPr="00291411">
        <w:t>.</w:t>
      </w:r>
      <w:r w:rsidRPr="00291411">
        <w:rPr>
          <w:rStyle w:val="Alaviitteenviite"/>
        </w:rPr>
        <w:footnoteReference w:id="41"/>
      </w:r>
      <w:r w:rsidR="00341C25" w:rsidRPr="00291411">
        <w:t xml:space="preserve"> </w:t>
      </w:r>
      <w:r w:rsidR="00403322" w:rsidRPr="00291411">
        <w:t xml:space="preserve">Valtio jatkoi poliisiväkivallan ja epäasiallisen kohtelun käyttöä mielenosoittajia vastaan mielenosoituksessa helmikuussa 2025. </w:t>
      </w:r>
      <w:r w:rsidR="0069291D" w:rsidRPr="00291411">
        <w:t>Tällöin p</w:t>
      </w:r>
      <w:r w:rsidR="00403322" w:rsidRPr="00291411">
        <w:t>oliisi käyttäytyi poikkeuksellisen aggressiivisesti</w:t>
      </w:r>
      <w:r w:rsidR="0069291D" w:rsidRPr="00291411">
        <w:t xml:space="preserve"> erityisesti</w:t>
      </w:r>
      <w:r w:rsidR="00403322" w:rsidRPr="00291411">
        <w:t xml:space="preserve"> naisia kohtaan. Vuonna 2025 raportoitiin myös tapauksia, joissa hallinnollisesti tai rikosoikeudellisesti pidätettyjä henkilöitä riisuttiin väkisin täysin alasti väitetyn henkilöntarkastuksen varjolla.</w:t>
      </w:r>
      <w:r w:rsidR="00403322" w:rsidRPr="00291411">
        <w:rPr>
          <w:rStyle w:val="Alaviitteenviite"/>
        </w:rPr>
        <w:footnoteReference w:id="42"/>
      </w:r>
      <w:r w:rsidR="00403322" w:rsidRPr="00291411">
        <w:t xml:space="preserve"> </w:t>
      </w:r>
      <w:r w:rsidR="0079756E" w:rsidRPr="00291411">
        <w:t>Etyj:n raportin mukaan hallituksen kriitikoihin kohdistuu yhä useammin</w:t>
      </w:r>
      <w:r w:rsidR="00291411" w:rsidRPr="00291411">
        <w:t xml:space="preserve"> tuntemattomien henkilöiden tekemiä</w:t>
      </w:r>
      <w:r w:rsidR="0079756E" w:rsidRPr="00291411">
        <w:t xml:space="preserve"> väkivaltaisia hyökkäyksiä, myös julkisilla paikoilla. </w:t>
      </w:r>
      <w:r w:rsidR="00291411" w:rsidRPr="00291411">
        <w:t>Etyj:n r</w:t>
      </w:r>
      <w:r w:rsidR="0079756E" w:rsidRPr="00291411">
        <w:t>aportoija ei voi</w:t>
      </w:r>
      <w:r w:rsidR="00291411" w:rsidRPr="00291411">
        <w:t>nut</w:t>
      </w:r>
      <w:r w:rsidR="0079756E" w:rsidRPr="00291411">
        <w:t xml:space="preserve"> varmistaa, ovatko hyökkäykset hallituksen järjestämiä, mutta useat kertomukset viittaavat siihen, että </w:t>
      </w:r>
      <w:r w:rsidR="00291411" w:rsidRPr="00291411">
        <w:t>osa hyökkäyksiä</w:t>
      </w:r>
      <w:r w:rsidR="0079756E" w:rsidRPr="00291411">
        <w:t xml:space="preserve"> saatettiin tehdä ainakin hallituksen hiljaisella hyväksynnällä. Lisäksi opposition johtajat ja heidän perheensä ovat saaneet toistuvia uhkauspuheluita, joissa heitä on peloteltu äärimmäisellä väkivallalla ja jopa kuolemalla.</w:t>
      </w:r>
      <w:r w:rsidR="0079756E" w:rsidRPr="00291411">
        <w:rPr>
          <w:rStyle w:val="Alaviitteenviite"/>
        </w:rPr>
        <w:footnoteReference w:id="43"/>
      </w:r>
      <w:r w:rsidR="00DE4B98" w:rsidRPr="00291411">
        <w:t xml:space="preserve"> </w:t>
      </w:r>
      <w:r w:rsidR="00BE369A" w:rsidRPr="00291411">
        <w:t xml:space="preserve">Georgian turvallisuuspalvelujen kerrotaan harjoittaneen pitkäaikaista ja jatkuvaa laitonta valvontaa, </w:t>
      </w:r>
      <w:r w:rsidR="005B2120" w:rsidRPr="00291411">
        <w:t>mikä on omalta osaltaan lisännyt pelon ja painostuksen ilmapiiriä.</w:t>
      </w:r>
      <w:r w:rsidR="005B2120" w:rsidRPr="00291411">
        <w:rPr>
          <w:rStyle w:val="Alaviitteenviite"/>
        </w:rPr>
        <w:footnoteReference w:id="44"/>
      </w:r>
      <w:r w:rsidR="005B2120" w:rsidRPr="00291411">
        <w:t xml:space="preserve"> </w:t>
      </w:r>
    </w:p>
    <w:p w14:paraId="1D158420" w14:textId="39230D2F" w:rsidR="00DE4B98" w:rsidRDefault="006D1E23" w:rsidP="00291411">
      <w:r w:rsidRPr="00291411">
        <w:t>Freedom House -järjestön mukaan lukuisat hallituksen vastustajat ovat joutuneet viime vuosina syytteeseen, joita on yleisesti pidetty poliittisiin syihin perustuvina.</w:t>
      </w:r>
      <w:r w:rsidRPr="00291411">
        <w:rPr>
          <w:rStyle w:val="Alaviitteenviite"/>
        </w:rPr>
        <w:footnoteReference w:id="45"/>
      </w:r>
      <w:r w:rsidRPr="00291411">
        <w:t xml:space="preserve"> </w:t>
      </w:r>
      <w:r w:rsidR="00291411" w:rsidRPr="00291411">
        <w:t xml:space="preserve">Georgian Young Lawyers’ Association -järjestön (GYLA) joulukuussa 2025 julkaistaman ihmisoikeusraportin mukaan </w:t>
      </w:r>
      <w:r w:rsidR="00DE4B98" w:rsidRPr="00291411">
        <w:t xml:space="preserve">vuonna 2025 </w:t>
      </w:r>
      <w:r w:rsidR="00183B83">
        <w:t xml:space="preserve">oikeusjärjestelmän </w:t>
      </w:r>
      <w:r w:rsidR="00542018">
        <w:t>käyttäminen</w:t>
      </w:r>
      <w:r w:rsidR="00183B83">
        <w:t xml:space="preserve"> poliittisin syin</w:t>
      </w:r>
      <w:r w:rsidR="00DE4B98" w:rsidRPr="00291411">
        <w:t xml:space="preserve"> oli yksi </w:t>
      </w:r>
      <w:r w:rsidR="00291411">
        <w:t xml:space="preserve">Georgian </w:t>
      </w:r>
      <w:r w:rsidR="00DE4B98" w:rsidRPr="00291411">
        <w:t xml:space="preserve">huolestuttavimmista kehityssuunnista. GYLA:n seurannan mukaan yhteensä 147 aktivistia ja poliitikkoa asetettiin rikossyytteeseen vuoden 2024–2025 mielenosoituksiin liittyen. </w:t>
      </w:r>
      <w:r w:rsidR="00291411">
        <w:t xml:space="preserve">Oikeudenkäyntien seuranta on paljastanut merkittäviä rikkomuksia. </w:t>
      </w:r>
      <w:r w:rsidR="00DE4B98" w:rsidRPr="00291411">
        <w:t xml:space="preserve">Rikosoikeudellisia mekanismeja </w:t>
      </w:r>
      <w:r w:rsidR="00291411">
        <w:t>on käytetty</w:t>
      </w:r>
      <w:r w:rsidR="00DE4B98" w:rsidRPr="00291411">
        <w:t xml:space="preserve"> </w:t>
      </w:r>
      <w:r w:rsidR="00183B83">
        <w:t>painostustarkoituksessa rajoittamaan aktivistien</w:t>
      </w:r>
      <w:r w:rsidR="00DE4B98" w:rsidRPr="00291411">
        <w:t xml:space="preserve"> kokoontumis- ja ilmaisunvapa</w:t>
      </w:r>
      <w:r w:rsidR="00183B83">
        <w:t>utta</w:t>
      </w:r>
      <w:r w:rsidR="00DE4B98" w:rsidRPr="00291411">
        <w:t xml:space="preserve">. Aktivisteja </w:t>
      </w:r>
      <w:r w:rsidRPr="00291411">
        <w:t>on syytetty muun muassa joukkoväkivallasta</w:t>
      </w:r>
      <w:r w:rsidR="00DE4B98" w:rsidRPr="00291411">
        <w:t xml:space="preserve">, </w:t>
      </w:r>
      <w:r w:rsidR="00183B83">
        <w:t>räjähteiden</w:t>
      </w:r>
      <w:r w:rsidR="00DE4B98" w:rsidRPr="00291411">
        <w:t xml:space="preserve"> valmistelusta, poliisin </w:t>
      </w:r>
      <w:r w:rsidR="00183B83">
        <w:t>pahoinpitelystä</w:t>
      </w:r>
      <w:r w:rsidR="00DE4B98" w:rsidRPr="00291411">
        <w:t xml:space="preserve">, omaisuuden tuhoamisesta, huumausaineisiin liittyvistä rikoksista ja strategisen kohteen </w:t>
      </w:r>
      <w:r w:rsidRPr="00291411">
        <w:t>valtaamisen tai estämisen yrityksestä</w:t>
      </w:r>
      <w:r w:rsidR="00DE4B98" w:rsidRPr="00291411">
        <w:t>.</w:t>
      </w:r>
      <w:r w:rsidR="00DE4B98" w:rsidRPr="00291411">
        <w:rPr>
          <w:rStyle w:val="Alaviitteenviite"/>
        </w:rPr>
        <w:footnoteReference w:id="46"/>
      </w:r>
    </w:p>
    <w:p w14:paraId="7DABBDB4" w14:textId="59FA1B98" w:rsidR="000B22E2" w:rsidRDefault="00291411" w:rsidP="00542018">
      <w:r w:rsidRPr="00291411">
        <w:t xml:space="preserve">Georgialaisen Human Rights Center (HRC) -ihmisoikeusjärjestön vuotta 2024 käsittelevän raportin </w:t>
      </w:r>
      <w:r w:rsidR="00E40C43" w:rsidRPr="00291411">
        <w:t>mukaan etniset ja uskonnolliset vähemmistöt kohtaavat Georgiassa syrjintää.</w:t>
      </w:r>
      <w:r w:rsidR="00E40C43" w:rsidRPr="00291411">
        <w:rPr>
          <w:rStyle w:val="Alaviitteenviite"/>
        </w:rPr>
        <w:footnoteReference w:id="47"/>
      </w:r>
      <w:r w:rsidR="00E40C43" w:rsidRPr="00291411">
        <w:t xml:space="preserve"> Freedom House -järjestön mukaan Georgiassa ei turvata riittävästi haavoittuvien ryhmien, kuten seksuaali- ja sukupuolivähemmistöjen, lasten ja naisten, oikeuksia.</w:t>
      </w:r>
      <w:r w:rsidR="00E40C43" w:rsidRPr="00291411">
        <w:rPr>
          <w:rStyle w:val="Alaviitteenviite"/>
        </w:rPr>
        <w:footnoteReference w:id="48"/>
      </w:r>
      <w:r w:rsidR="00E40C43" w:rsidRPr="00291411">
        <w:t xml:space="preserve"> </w:t>
      </w:r>
      <w:r w:rsidR="00341C25" w:rsidRPr="00291411">
        <w:t xml:space="preserve">Euroopan komission raportissa todetaan, että seksuaali- ja sukupuolivähemmistöihin </w:t>
      </w:r>
      <w:r w:rsidR="00FF1263" w:rsidRPr="00291411">
        <w:t xml:space="preserve">kuuluviin henkilöihin kohdistuu yhä vihamielisempi ja leimaavampi ilmapiiri, erityisesti </w:t>
      </w:r>
      <w:r>
        <w:t xml:space="preserve">perhearvoja ja lasten suojelua </w:t>
      </w:r>
      <w:r w:rsidR="00FF1263" w:rsidRPr="00291411">
        <w:t>koskevan lakipaketin seurauksena. Heihin kohdistuu vakavaa syrjintää, suvaitsemattomuutta ja järjestelmällistä väkivaltaa. Georgiassa esiintyy homo- ja transfobista retoriikkaa, myös korkean tason viranomaisilta.</w:t>
      </w:r>
      <w:r w:rsidR="00652F5F" w:rsidRPr="00291411">
        <w:t xml:space="preserve"> </w:t>
      </w:r>
      <w:r w:rsidR="00FF1263" w:rsidRPr="00291411">
        <w:t xml:space="preserve">Viranomaiset eivät ainoastaan epäonnistu tunnistamaan ja puuttumaan </w:t>
      </w:r>
      <w:r w:rsidRPr="00291411">
        <w:t>HLBTIQ+</w:t>
      </w:r>
      <w:r w:rsidR="00FF1263" w:rsidRPr="00291411">
        <w:rPr>
          <w:rFonts w:ascii="Cambria Math" w:hAnsi="Cambria Math" w:cs="Cambria Math"/>
        </w:rPr>
        <w:t>‑</w:t>
      </w:r>
      <w:r w:rsidR="00FF1263" w:rsidRPr="00291411">
        <w:t>henkil</w:t>
      </w:r>
      <w:r w:rsidR="00FF1263" w:rsidRPr="00291411">
        <w:rPr>
          <w:rFonts w:cs="Century Gothic"/>
        </w:rPr>
        <w:t>ö</w:t>
      </w:r>
      <w:r w:rsidR="00FF1263" w:rsidRPr="00291411">
        <w:t>ihin kohdistuvan syrjinn</w:t>
      </w:r>
      <w:r w:rsidR="00FF1263" w:rsidRPr="00291411">
        <w:rPr>
          <w:rFonts w:cs="Century Gothic"/>
        </w:rPr>
        <w:t>ä</w:t>
      </w:r>
      <w:r w:rsidR="00FF1263" w:rsidRPr="00291411">
        <w:t>n rakenteelliseen luonteeseen, vaan my</w:t>
      </w:r>
      <w:r w:rsidR="00FF1263" w:rsidRPr="00291411">
        <w:rPr>
          <w:rFonts w:cs="Century Gothic"/>
        </w:rPr>
        <w:t>ö</w:t>
      </w:r>
      <w:r w:rsidR="00FF1263" w:rsidRPr="00291411">
        <w:t>s vahvistavat syrjint</w:t>
      </w:r>
      <w:r w:rsidR="00FF1263" w:rsidRPr="00291411">
        <w:rPr>
          <w:rFonts w:cs="Century Gothic"/>
        </w:rPr>
        <w:t>ää</w:t>
      </w:r>
      <w:r w:rsidR="00FF1263" w:rsidRPr="00291411">
        <w:t>, suvaitsemattomuutta ja j</w:t>
      </w:r>
      <w:r w:rsidR="00FF1263" w:rsidRPr="00291411">
        <w:rPr>
          <w:rFonts w:cs="Century Gothic"/>
        </w:rPr>
        <w:t>ä</w:t>
      </w:r>
      <w:r w:rsidR="00FF1263" w:rsidRPr="00291411">
        <w:t>rjestelm</w:t>
      </w:r>
      <w:r w:rsidR="00FF1263" w:rsidRPr="00291411">
        <w:rPr>
          <w:rFonts w:cs="Century Gothic"/>
        </w:rPr>
        <w:t>ä</w:t>
      </w:r>
      <w:r w:rsidR="00FF1263" w:rsidRPr="00291411">
        <w:t>llist</w:t>
      </w:r>
      <w:r w:rsidR="00FF1263" w:rsidRPr="00291411">
        <w:rPr>
          <w:rFonts w:cs="Century Gothic"/>
        </w:rPr>
        <w:t>ä</w:t>
      </w:r>
      <w:r w:rsidR="00FF1263" w:rsidRPr="00291411">
        <w:t xml:space="preserve"> v</w:t>
      </w:r>
      <w:r w:rsidR="00FF1263" w:rsidRPr="00291411">
        <w:rPr>
          <w:rFonts w:cs="Century Gothic"/>
        </w:rPr>
        <w:t>ä</w:t>
      </w:r>
      <w:r w:rsidR="00FF1263" w:rsidRPr="00291411">
        <w:t>kivaltaa.</w:t>
      </w:r>
      <w:r w:rsidR="00D45758">
        <w:rPr>
          <w:rStyle w:val="Alaviitteenviite"/>
        </w:rPr>
        <w:footnoteReference w:id="49"/>
      </w:r>
      <w:r w:rsidR="00E40C43" w:rsidRPr="00291411">
        <w:t xml:space="preserve"> </w:t>
      </w:r>
      <w:r w:rsidR="00E840BB" w:rsidRPr="00291411">
        <w:t xml:space="preserve">Etyj:n raportoijan mukaan seksuaalisen suuntautumisen tai sukupuoli-identiteetin ilmaisun tila on kaventunut merkittävästi </w:t>
      </w:r>
      <w:r w:rsidR="00E840BB" w:rsidRPr="00291411">
        <w:lastRenderedPageBreak/>
        <w:t xml:space="preserve">Georgiassa. Seksuaalisen suuntautumisen tai sukupuoli-identiteetin ilmaisu on muuttunut vaaralliseksi, koska ilmapiiri on leimaava ja viranomaiset vaikuttavat haluttomilta suojelemaan henkilöitä, jotka haluavat ilmaista identiteettiään tai kertoa yleisölle </w:t>
      </w:r>
      <w:r w:rsidRPr="00291411">
        <w:t>HLBTIQ+</w:t>
      </w:r>
      <w:r w:rsidR="00E840BB" w:rsidRPr="00291411">
        <w:t>-oikeuksista.</w:t>
      </w:r>
      <w:r w:rsidR="00E840BB" w:rsidRPr="00291411">
        <w:rPr>
          <w:rStyle w:val="Alaviitteenviite"/>
        </w:rPr>
        <w:footnoteReference w:id="50"/>
      </w:r>
      <w:r w:rsidR="000B22E2">
        <w:t xml:space="preserve"> </w:t>
      </w:r>
      <w:r w:rsidR="000B22E2" w:rsidRPr="000B22E2">
        <w:rPr>
          <w:i/>
          <w:iCs/>
        </w:rPr>
        <w:t>Seksuaali- ja sukupuolivähemmistöihin kohdistuvia väkivaltatapauksia ja viharikoksia on käsitelty 7.5.2025 julkaistussa kyselyvastauksessa.</w:t>
      </w:r>
      <w:r w:rsidR="000B22E2" w:rsidRPr="000B22E2">
        <w:rPr>
          <w:rStyle w:val="Alaviitteenviite"/>
          <w:i/>
          <w:iCs/>
        </w:rPr>
        <w:footnoteReference w:id="51"/>
      </w:r>
    </w:p>
    <w:p w14:paraId="34A9A38A" w14:textId="111BF5F6" w:rsidR="00C4125D" w:rsidRPr="00DE4B98" w:rsidRDefault="00652F5F" w:rsidP="009C3D95">
      <w:r w:rsidRPr="00291411">
        <w:t xml:space="preserve">HRC-ihmisoikeusjärjestön vuotta 2024 käsittelevän raportin </w:t>
      </w:r>
      <w:r w:rsidR="00183B83">
        <w:t xml:space="preserve">ja </w:t>
      </w:r>
      <w:r w:rsidR="00183B83" w:rsidRPr="00291411">
        <w:t>Freedom House -järjestön mukaan</w:t>
      </w:r>
      <w:r w:rsidR="00183B83">
        <w:t xml:space="preserve"> naisiin kohdistuva väkivalta ja lähisuhdeväkivalta </w:t>
      </w:r>
      <w:r w:rsidR="009C3D95">
        <w:t xml:space="preserve">ovat </w:t>
      </w:r>
      <w:r w:rsidRPr="00291411">
        <w:t>edelleen vakava ongelma Georgiassa</w:t>
      </w:r>
      <w:r w:rsidR="00E40C43" w:rsidRPr="00291411">
        <w:t>. Poliisin reagointi on usein puutteellista, vaikka asenteiden muuttuminen on viime vuosina lisännyt ilmoitusherkkyyttä ja parantanut lain täytäntöönpanoa. Aviopuolison raiskausta ei ole erikseen kriminalisoitu.</w:t>
      </w:r>
      <w:r w:rsidR="00E40C43" w:rsidRPr="00291411">
        <w:rPr>
          <w:rStyle w:val="Alaviitteenviite"/>
        </w:rPr>
        <w:footnoteReference w:id="52"/>
      </w:r>
      <w:r w:rsidR="00E40C43" w:rsidRPr="00291411">
        <w:t xml:space="preserve"> Euroopan komission raportissa todetaan, että</w:t>
      </w:r>
      <w:r w:rsidR="00291411" w:rsidRPr="00291411">
        <w:t xml:space="preserve"> </w:t>
      </w:r>
      <w:r w:rsidR="00291411">
        <w:t>r</w:t>
      </w:r>
      <w:r w:rsidR="00291411" w:rsidRPr="00291411">
        <w:t>aiskauksen oikeudellinen määritelmä ei vastaa Istanbulin sopimuksen vaatimuksia</w:t>
      </w:r>
      <w:r w:rsidR="00291411">
        <w:t xml:space="preserve">. Lainvalvontaviranomaisten kerrotaan kohdistaneen </w:t>
      </w:r>
      <w:r w:rsidR="00E40C43" w:rsidRPr="00291411">
        <w:t>mielenosoituksiin osallistuneisiin naisiin fyysisiä pahoinpitelyjä, seksuaalista häirintää sekä raiskaus- tai tappouhkauksia.</w:t>
      </w:r>
      <w:r w:rsidR="00E40C43" w:rsidRPr="00291411">
        <w:rPr>
          <w:rStyle w:val="Alaviitteenviite"/>
        </w:rPr>
        <w:footnoteReference w:id="53"/>
      </w:r>
    </w:p>
    <w:p w14:paraId="3177D1CF" w14:textId="2DE97155" w:rsidR="009778BB" w:rsidRDefault="00B6171C" w:rsidP="009778BB">
      <w:pPr>
        <w:pStyle w:val="Otsikko1"/>
        <w:numPr>
          <w:ilvl w:val="0"/>
          <w:numId w:val="30"/>
        </w:numPr>
      </w:pPr>
      <w:r>
        <w:t xml:space="preserve">Millainen on Georgian </w:t>
      </w:r>
      <w:r w:rsidR="009778BB">
        <w:t xml:space="preserve">oikeusvaltion tilanne ja viranomaissuojelun saatavuus? </w:t>
      </w:r>
    </w:p>
    <w:p w14:paraId="05AAA3EB" w14:textId="3142041E" w:rsidR="007F68D2" w:rsidRPr="00291411" w:rsidRDefault="00291411" w:rsidP="007F68D2">
      <w:pPr>
        <w:pStyle w:val="Numeroimatonotsikko"/>
      </w:pPr>
      <w:r w:rsidRPr="00291411">
        <w:t>O</w:t>
      </w:r>
      <w:r w:rsidR="0009508D" w:rsidRPr="00291411">
        <w:t>ikeuslaitoksen riippumattomuu</w:t>
      </w:r>
      <w:r w:rsidRPr="00291411">
        <w:t>s</w:t>
      </w:r>
    </w:p>
    <w:p w14:paraId="28FC98E6" w14:textId="1E48EC13" w:rsidR="00D84621" w:rsidRDefault="00D84621" w:rsidP="000E4D8B">
      <w:r w:rsidRPr="00291411">
        <w:t>Euroopan komission raportin mukaan</w:t>
      </w:r>
      <w:r w:rsidR="000E4D8B" w:rsidRPr="00291411">
        <w:t xml:space="preserve"> Georgian</w:t>
      </w:r>
      <w:r w:rsidRPr="00291411">
        <w:t xml:space="preserve"> </w:t>
      </w:r>
      <w:r w:rsidR="000E4D8B" w:rsidRPr="00291411">
        <w:t>t</w:t>
      </w:r>
      <w:r w:rsidRPr="00291411">
        <w:t xml:space="preserve">uomioistuinten riippumattomuus ja puolueettomuus </w:t>
      </w:r>
      <w:r w:rsidR="00291411" w:rsidRPr="00291411">
        <w:t>on riittämätöntä</w:t>
      </w:r>
      <w:r w:rsidRPr="00291411">
        <w:t xml:space="preserve"> sekä ylemmissä oikeusasteissa että ensimmäisen asteen tuomioistuimissa. Oikeuslaitos tarvitsee perusteellisen ja kattavan uudistuksen</w:t>
      </w:r>
      <w:r w:rsidR="000E4D8B" w:rsidRPr="00291411">
        <w:t>, erityisesti korkeimman oikeusneuvoston ja korkeimman oikeuden eheyden varmistamiseksi, tuomioistuinten riippumattomuuden ja puolueettomuuden parantamiseksi sekä yleisen luottamuksen lisäämiseksi oikeusjärjestelmään.</w:t>
      </w:r>
      <w:r w:rsidRPr="00291411">
        <w:rPr>
          <w:rStyle w:val="Alaviitteenviite"/>
        </w:rPr>
        <w:footnoteReference w:id="54"/>
      </w:r>
    </w:p>
    <w:p w14:paraId="41E64BF1" w14:textId="21F6F143" w:rsidR="0009508D" w:rsidRPr="00291411" w:rsidRDefault="00FC0756" w:rsidP="009C3D95">
      <w:r w:rsidRPr="00291411">
        <w:t xml:space="preserve">Freedom House -järjestön mukaan toimeenpano- ja lainsäädäntövallan puuttuminen tuomioistuinten toimintaan on edelleen merkittävä ongelma Georgiassa, samoin kuin oikeudenkäyntien läpinäkyvyyden ja ammattimaisuuden puute. </w:t>
      </w:r>
      <w:r w:rsidR="00971ACD" w:rsidRPr="00291411">
        <w:t xml:space="preserve">Viimeisen vuosikymmenen aikana korkeimman oikeuden nimitysprosessit ovat herättäneet kritiikkiä </w:t>
      </w:r>
      <w:r w:rsidR="009C3D95">
        <w:t>läpinäkyvyyden puutteen sekä epäpätevien ehdokkaiden nimittämisen vuoksi. Lisäksi oppositio ei ole parlamenttiboikotin vuoksi osallistunut tuomarinimitysten vahvistamiseen.</w:t>
      </w:r>
      <w:r w:rsidR="00971ACD" w:rsidRPr="00291411">
        <w:t xml:space="preserve"> </w:t>
      </w:r>
      <w:r w:rsidRPr="00291411">
        <w:t>Pieni tuomareiden ryhmä hallitsee käytännössä koko oikeuslaitosta.</w:t>
      </w:r>
      <w:r w:rsidR="007F68D2" w:rsidRPr="00291411">
        <w:rPr>
          <w:rStyle w:val="Alaviitteenviite"/>
        </w:rPr>
        <w:footnoteReference w:id="55"/>
      </w:r>
      <w:r w:rsidR="007F68D2" w:rsidRPr="00291411">
        <w:t xml:space="preserve"> </w:t>
      </w:r>
      <w:r w:rsidR="000E4D8B" w:rsidRPr="00291411">
        <w:t xml:space="preserve">Samoin Global Initiative Against Transnational Organized Crime -järjestön mukaan </w:t>
      </w:r>
      <w:r w:rsidR="00971ACD" w:rsidRPr="00291411">
        <w:t xml:space="preserve">vaikutusvaltaisten tuomareiden ryhmän vaikutus on heikentänyt entisestään </w:t>
      </w:r>
      <w:r w:rsidR="000E4D8B" w:rsidRPr="00291411">
        <w:t>Georgian oikeuslaitosta. Tuomareiden ryhmä hallinnoi nimityksiä ja ylennyksiä, koordinoi ratkaisuja arkaluonteisissa tapauksissa ja varmistaa alempien oikeusasteiden tuomareiden lojaalisuuden.</w:t>
      </w:r>
      <w:r w:rsidR="00971ACD" w:rsidRPr="00291411">
        <w:t xml:space="preserve"> Kesäkuussa 2025 hyväksytyt muutokset tuomioistuimia koskevaan lakiin vahvistivat vaikutusvaltaisen tuomariryhmän asemaa entisestään muun muassa lakkauttamalla riippumattoman tarkastajan viran ja helpottamalla tuomareiden erottamista.</w:t>
      </w:r>
      <w:r w:rsidR="000E4D8B" w:rsidRPr="00291411">
        <w:rPr>
          <w:rStyle w:val="Alaviitteenviite"/>
        </w:rPr>
        <w:footnoteReference w:id="56"/>
      </w:r>
    </w:p>
    <w:p w14:paraId="0BE67E37" w14:textId="6B8CD6C7" w:rsidR="00FC0756" w:rsidRPr="00291411" w:rsidRDefault="0009508D" w:rsidP="0009508D">
      <w:pPr>
        <w:pStyle w:val="Numeroimatonotsikko"/>
      </w:pPr>
      <w:r w:rsidRPr="00291411">
        <w:t>Oikeudenmukainen oikeudenkäynti</w:t>
      </w:r>
    </w:p>
    <w:p w14:paraId="2AE03A8C" w14:textId="6D571E02" w:rsidR="006D1E23" w:rsidRPr="00291411" w:rsidRDefault="00F514CA" w:rsidP="00865B4C">
      <w:r w:rsidRPr="00291411">
        <w:lastRenderedPageBreak/>
        <w:t>Freedom House -järjestön mukaan lainsäädäntö</w:t>
      </w:r>
      <w:r w:rsidR="00FC0756" w:rsidRPr="00291411">
        <w:t xml:space="preserve"> takaa oikeudenmukaisen oikeudenkäynnin, mutta siihen liittyviä takeita ei aina kunnioiteta.</w:t>
      </w:r>
      <w:r w:rsidR="007F68D2" w:rsidRPr="00291411">
        <w:rPr>
          <w:rStyle w:val="Alaviitteenviite"/>
        </w:rPr>
        <w:footnoteReference w:id="57"/>
      </w:r>
      <w:r w:rsidRPr="00291411">
        <w:t xml:space="preserve"> Euroopan komission raportin mukaan oikeudenmukaisen oikeudenkäynnin</w:t>
      </w:r>
      <w:r w:rsidR="009C3D95">
        <w:t xml:space="preserve"> periaatteita</w:t>
      </w:r>
      <w:r w:rsidR="009A412D" w:rsidRPr="00291411">
        <w:t xml:space="preserve"> </w:t>
      </w:r>
      <w:r w:rsidR="009C3D95">
        <w:t>loukataan edelleen</w:t>
      </w:r>
      <w:r w:rsidR="009A412D" w:rsidRPr="00291411">
        <w:t xml:space="preserve"> Georgiassa. </w:t>
      </w:r>
      <w:r w:rsidR="009C3D95" w:rsidRPr="009C3D95">
        <w:t>Georgian oikeusasiamies on tuonut esiin useita ongelmia rikosprosessissa. Joissakin tapauksissa tuomio on perustunut pelkästään poliisin todistuksiin. Toisinaan puolustuksen asianajajalta on evätty mahdollisuus osallistua tutkintatoimiin. On myös tilanteita, joissa puolustukselle on määrätty salassapitovelvollisuus ilman täsmällistä perustelua tai rajauksia. Lisäksi asiantuntijalausunnot ovat joissakin tapauksissa viivästyneet merkittävästi.</w:t>
      </w:r>
      <w:r w:rsidR="00D84621" w:rsidRPr="00291411">
        <w:t xml:space="preserve"> </w:t>
      </w:r>
      <w:r w:rsidR="00F54130" w:rsidRPr="00291411">
        <w:t xml:space="preserve">Joukkomielenosoitusten aikana pidätettyjen henkilöiden oikeudenkäynneissä on raportoitu oikeudenmukaisen oikeudenkäynnin </w:t>
      </w:r>
      <w:r w:rsidR="00AC71A3">
        <w:t>periaatteiden</w:t>
      </w:r>
      <w:r w:rsidR="00F54130" w:rsidRPr="00291411">
        <w:t xml:space="preserve"> ja oikeusturvatakeiden loukkauksia.</w:t>
      </w:r>
      <w:r w:rsidR="00D84621" w:rsidRPr="00291411">
        <w:rPr>
          <w:rStyle w:val="Alaviitteenviite"/>
        </w:rPr>
        <w:footnoteReference w:id="58"/>
      </w:r>
      <w:r w:rsidR="00F54130" w:rsidRPr="00291411">
        <w:t xml:space="preserve"> </w:t>
      </w:r>
      <w:r w:rsidR="00865B4C" w:rsidRPr="00291411">
        <w:t>Etyj:n raporti</w:t>
      </w:r>
      <w:r w:rsidR="00B67E2E">
        <w:t xml:space="preserve">ssa todetaan, että </w:t>
      </w:r>
      <w:r w:rsidR="00865B4C" w:rsidRPr="00291411">
        <w:t xml:space="preserve">haastateltujen </w:t>
      </w:r>
      <w:r w:rsidR="008E2F5A" w:rsidRPr="00291411">
        <w:t xml:space="preserve">rikoksista syytettyjen mielenosoittajien ja poliittisten toimijoiden sekä heidän asianajajiensa mukaan puolustuksen todisteita koskevat vaatimukset hylätään usein, </w:t>
      </w:r>
      <w:r w:rsidR="00865B4C" w:rsidRPr="00291411">
        <w:t xml:space="preserve">myös silloin kun ne ovat olennaisia syyttömyyden osoittamiseksi. Tuomioistuimet kuulevat usein ainoina todistajina poliiseja. </w:t>
      </w:r>
      <w:r w:rsidR="00AC71A3">
        <w:t>A</w:t>
      </w:r>
      <w:r w:rsidR="008E2F5A" w:rsidRPr="00291411">
        <w:t xml:space="preserve">sianajajien mukaan </w:t>
      </w:r>
      <w:r w:rsidR="00AC71A3">
        <w:t>todisteita manipuloidaan, minkä todeksi osoittaminen on kuitenkin vaikeaa</w:t>
      </w:r>
      <w:r w:rsidR="008E2F5A" w:rsidRPr="00291411">
        <w:t>.</w:t>
      </w:r>
      <w:r w:rsidR="00865B4C" w:rsidRPr="00291411">
        <w:t xml:space="preserve"> </w:t>
      </w:r>
      <w:r w:rsidR="00AC71A3">
        <w:t xml:space="preserve">Syyttömyysolettaman rikkominen on yleistä. Ankaria pakkokeinoja ja rangaistuksia, kuten tutkintavankeutta ja vankeusrangaistusta, on sovellettu suhteettomasti. Pidätettyjä on painostettu </w:t>
      </w:r>
      <w:r w:rsidR="00AC71A3" w:rsidRPr="00AC71A3">
        <w:t>allekirjoittamaan vääriä lausuntoja, joita on myöhemmin käytetty heitä vastaan rikosprosessissa.</w:t>
      </w:r>
      <w:r w:rsidR="00AC71A3">
        <w:t xml:space="preserve"> </w:t>
      </w:r>
      <w:r w:rsidR="00AC71A3" w:rsidRPr="00AC71A3">
        <w:t xml:space="preserve">Lisäksi tuomioistuimet ovat joissakin tapauksissa muuttaneet syytekohtia kesken oikeudenkäynnin ilman, että puolustukselle on annettu mahdollisuutta kiistää uusia syytteitä ennen </w:t>
      </w:r>
      <w:r w:rsidR="00AC71A3">
        <w:t>oikeudenkäynnin</w:t>
      </w:r>
      <w:r w:rsidR="00AC71A3" w:rsidRPr="00AC71A3">
        <w:t xml:space="preserve"> päättymistä.</w:t>
      </w:r>
      <w:r w:rsidR="00D45758">
        <w:rPr>
          <w:rStyle w:val="Alaviitteenviite"/>
        </w:rPr>
        <w:footnoteReference w:id="59"/>
      </w:r>
      <w:r w:rsidR="004E7807" w:rsidRPr="00291411">
        <w:t xml:space="preserve"> HRC:n raportin mukaan pidätettyjen mielenosoittajien tapauksissa oikeuslaitos on toiminut rangaistusmekanismina, joka tukahdutti kriittisiä mielipiteitä sen sijaan, että olisi suojellut ihmisoikeuksia.</w:t>
      </w:r>
      <w:r w:rsidR="00D45758">
        <w:rPr>
          <w:rStyle w:val="Alaviitteenviite"/>
        </w:rPr>
        <w:footnoteReference w:id="60"/>
      </w:r>
    </w:p>
    <w:p w14:paraId="00309020" w14:textId="179D5D59" w:rsidR="00F070B6" w:rsidRPr="00291411" w:rsidRDefault="00F54130" w:rsidP="007F68D2">
      <w:r w:rsidRPr="00291411">
        <w:t xml:space="preserve">Etyj:n raportissa todetaan, että poliitikkoja ja mielenosoituksiin osallistuneita edustavat asianajajat pelkäävät joutuvansa itse syytteeseen. Raportoijan </w:t>
      </w:r>
      <w:r w:rsidR="00B67E2E">
        <w:t xml:space="preserve">tietojen </w:t>
      </w:r>
      <w:r w:rsidRPr="00291411">
        <w:t xml:space="preserve">mukaan tällaisia </w:t>
      </w:r>
      <w:r w:rsidR="00AC71A3">
        <w:t>tapauksia ei kuitenkaan ole tällä hetkellä raportoitu</w:t>
      </w:r>
      <w:r w:rsidRPr="00291411">
        <w:t>. Asianajajien mukaan heillä on yleensä pääsy asiakkaidensa luo, vaikka joissain tapauksissa pidätettyjä on ollut vaikea paikantaa. Yhden lausunnon mukaan pääsy asianajajan luo oli evätty eri vaiheissa rikosprosessia, myös tutkintavankeudessa.</w:t>
      </w:r>
      <w:r w:rsidR="00D45758">
        <w:rPr>
          <w:rStyle w:val="Alaviitteenviite"/>
        </w:rPr>
        <w:footnoteReference w:id="61"/>
      </w:r>
    </w:p>
    <w:p w14:paraId="7871A2BB" w14:textId="4B76445B" w:rsidR="00D573A1" w:rsidRDefault="0009508D" w:rsidP="00D573A1">
      <w:pPr>
        <w:pStyle w:val="Numeroimatonotsikko"/>
      </w:pPr>
      <w:r>
        <w:t>Turvallisuusviranomaisten väärinkäytösten tutkiminen</w:t>
      </w:r>
      <w:bookmarkStart w:id="6" w:name="_Hlk224330412"/>
    </w:p>
    <w:p w14:paraId="1C850DA6" w14:textId="1FC448E8" w:rsidR="00403322" w:rsidRPr="004E7807" w:rsidRDefault="004E7807" w:rsidP="00FC0756">
      <w:r w:rsidRPr="00B67E2E">
        <w:t>Freedom House -järjestön mukaan ihmisoikeusjärjestöt ja oikeusasiamiehen toimisto ovat ilmaisseet huolensa pidätettyjen fyysisestä pahoinpitelystä ja todenneet, ettei maassa ole riippumatonta järjestelmää poliisin toiminnan valvomiseksi ja väärinkäytösväitteiden käsittelemiseksi.</w:t>
      </w:r>
      <w:r w:rsidRPr="00B67E2E">
        <w:rPr>
          <w:rStyle w:val="Alaviitteenviite"/>
        </w:rPr>
        <w:footnoteReference w:id="62"/>
      </w:r>
      <w:r w:rsidR="00B67E2E">
        <w:t xml:space="preserve"> </w:t>
      </w:r>
      <w:r w:rsidR="00D573A1" w:rsidRPr="00B67E2E">
        <w:t xml:space="preserve">Georgian oikeusasiamiehen mukaan mielenosoittajien ja väkivaltaa käyttäneiden viranomaisten rikostutkinnat etenevät täysin eri tavalla. Mielenosoittajia vastaan nostetut rikosasiat etenevät nopeasti esitutkinnasta tuomioon, ja heille määrätään ankaria rangaistuksia. Samaan aikaan </w:t>
      </w:r>
      <w:r w:rsidR="00855A10">
        <w:t xml:space="preserve">viranomaisten </w:t>
      </w:r>
      <w:r w:rsidR="00D573A1" w:rsidRPr="00B67E2E">
        <w:t xml:space="preserve">liiallista voimankäyttöä koskevat tutkinnat </w:t>
      </w:r>
      <w:r w:rsidR="00855A10">
        <w:t>eivät etene</w:t>
      </w:r>
      <w:r w:rsidR="00D573A1" w:rsidRPr="00B67E2E">
        <w:t>.</w:t>
      </w:r>
      <w:r w:rsidR="00B67E2E">
        <w:t xml:space="preserve"> M</w:t>
      </w:r>
      <w:r w:rsidR="00D573A1" w:rsidRPr="00B67E2E">
        <w:t>arras</w:t>
      </w:r>
      <w:r w:rsidR="00B67E2E">
        <w:t>–j</w:t>
      </w:r>
      <w:r w:rsidR="00D573A1" w:rsidRPr="00B67E2E">
        <w:t xml:space="preserve">oulukuun 2024 mielenosoitusten väitettyjä pahoinpitelyjä koskevat tutkinnat eivät ole johtaneet </w:t>
      </w:r>
      <w:r w:rsidR="008E2F5A" w:rsidRPr="00B67E2E">
        <w:t>yhteenkään virkamiehen tuomioon</w:t>
      </w:r>
      <w:r w:rsidR="00D573A1" w:rsidRPr="00B67E2E">
        <w:t>.</w:t>
      </w:r>
      <w:r w:rsidR="008E2F5A" w:rsidRPr="00B67E2E">
        <w:t xml:space="preserve"> Joiss</w:t>
      </w:r>
      <w:r w:rsidR="00855A10">
        <w:t>ain</w:t>
      </w:r>
      <w:r w:rsidR="008E2F5A" w:rsidRPr="00B67E2E">
        <w:t xml:space="preserve"> tapauksissa </w:t>
      </w:r>
      <w:r w:rsidR="00855A10">
        <w:t>tekijän henkilöllisyys</w:t>
      </w:r>
      <w:r w:rsidR="008E2F5A" w:rsidRPr="00B67E2E">
        <w:t xml:space="preserve"> oli helposti selvitettävissä, mutta </w:t>
      </w:r>
      <w:r w:rsidR="00855A10">
        <w:t>tutkinta ei silti edennyt</w:t>
      </w:r>
      <w:r w:rsidR="008E2F5A" w:rsidRPr="00B67E2E">
        <w:t>.</w:t>
      </w:r>
      <w:bookmarkEnd w:id="6"/>
      <w:r w:rsidR="00D45758">
        <w:rPr>
          <w:rStyle w:val="Alaviitteenviite"/>
        </w:rPr>
        <w:footnoteReference w:id="63"/>
      </w:r>
    </w:p>
    <w:p w14:paraId="2BA15E54" w14:textId="4FB5A450" w:rsidR="00F514CA" w:rsidRDefault="0009508D" w:rsidP="009A412D">
      <w:pPr>
        <w:pStyle w:val="Numeroimatonotsikko"/>
      </w:pPr>
      <w:r>
        <w:t>Viranomaissuojelun saatavuus</w:t>
      </w:r>
    </w:p>
    <w:p w14:paraId="6EDCE13C" w14:textId="0448D2A5" w:rsidR="0009508D" w:rsidRDefault="009A412D" w:rsidP="0009508D">
      <w:r w:rsidRPr="00B67E2E">
        <w:lastRenderedPageBreak/>
        <w:t xml:space="preserve">Euroopan komission raportin mukaan ihmisoikeuksien edistämistä, suojelemista ja toteuttamista koskeva lainsäädännöllinen ja institutionaalinen järjestelmä Georgiassa on puutteellinen ja vaatii parantamista. Georgialla ei ole riittävää lainsäädäntöä kidutuksen ja muun epäinhimillisen kohtelun </w:t>
      </w:r>
      <w:r w:rsidR="00BF5E20">
        <w:t>ehkäisemiseksi</w:t>
      </w:r>
      <w:r w:rsidRPr="00B67E2E">
        <w:t>.</w:t>
      </w:r>
      <w:r w:rsidR="00D45758">
        <w:rPr>
          <w:rStyle w:val="Alaviitteenviite"/>
        </w:rPr>
        <w:footnoteReference w:id="64"/>
      </w:r>
      <w:r w:rsidR="00B67E2E">
        <w:t xml:space="preserve"> </w:t>
      </w:r>
      <w:r w:rsidR="0009508D" w:rsidRPr="00B67E2E">
        <w:t xml:space="preserve">Kuten edellä todetaan poliisin reagointi </w:t>
      </w:r>
      <w:r w:rsidR="00BF5E20">
        <w:t>esimerkiksi</w:t>
      </w:r>
      <w:r w:rsidR="00542018">
        <w:t xml:space="preserve"> </w:t>
      </w:r>
      <w:r w:rsidR="0009508D" w:rsidRPr="00B67E2E">
        <w:t>lähisuhdeväkivaltaan</w:t>
      </w:r>
      <w:r w:rsidR="00542018">
        <w:t xml:space="preserve"> </w:t>
      </w:r>
      <w:r w:rsidR="0009508D" w:rsidRPr="00B67E2E">
        <w:t>on puutteellista.</w:t>
      </w:r>
      <w:r w:rsidR="0009508D" w:rsidRPr="00B67E2E">
        <w:rPr>
          <w:rStyle w:val="Alaviitteenviite"/>
        </w:rPr>
        <w:footnoteReference w:id="65"/>
      </w:r>
      <w:r w:rsidR="0009508D" w:rsidRPr="00B67E2E">
        <w:t xml:space="preserve"> </w:t>
      </w:r>
      <w:r w:rsidR="00BF5E20">
        <w:t>V</w:t>
      </w:r>
      <w:r w:rsidR="0009508D" w:rsidRPr="00B67E2E">
        <w:t>iranomaiset eivät onnistu tunnistamaan ja puuttumaan seksuaali- ja sukupuolivähemmistöihin kuuluviin henkil</w:t>
      </w:r>
      <w:r w:rsidR="0009508D" w:rsidRPr="00B67E2E">
        <w:rPr>
          <w:rFonts w:cs="Century Gothic"/>
        </w:rPr>
        <w:t>ö</w:t>
      </w:r>
      <w:r w:rsidR="0009508D" w:rsidRPr="00B67E2E">
        <w:t>ihin kohdistuvan syrjinn</w:t>
      </w:r>
      <w:r w:rsidR="0009508D" w:rsidRPr="00B67E2E">
        <w:rPr>
          <w:rFonts w:cs="Century Gothic"/>
        </w:rPr>
        <w:t>ä</w:t>
      </w:r>
      <w:r w:rsidR="0009508D" w:rsidRPr="00B67E2E">
        <w:t>n rakenteelliseen luonteeseen, vaan my</w:t>
      </w:r>
      <w:r w:rsidR="0009508D" w:rsidRPr="00B67E2E">
        <w:rPr>
          <w:rFonts w:cs="Century Gothic"/>
        </w:rPr>
        <w:t>ö</w:t>
      </w:r>
      <w:r w:rsidR="0009508D" w:rsidRPr="00B67E2E">
        <w:t>s vahvistavat syrjint</w:t>
      </w:r>
      <w:r w:rsidR="0009508D" w:rsidRPr="00B67E2E">
        <w:rPr>
          <w:rFonts w:cs="Century Gothic"/>
        </w:rPr>
        <w:t>ää</w:t>
      </w:r>
      <w:r w:rsidR="0009508D" w:rsidRPr="00B67E2E">
        <w:t>, suvaitsemattomuutta ja j</w:t>
      </w:r>
      <w:r w:rsidR="0009508D" w:rsidRPr="00B67E2E">
        <w:rPr>
          <w:rFonts w:cs="Century Gothic"/>
        </w:rPr>
        <w:t>ä</w:t>
      </w:r>
      <w:r w:rsidR="0009508D" w:rsidRPr="00B67E2E">
        <w:t>rjestelm</w:t>
      </w:r>
      <w:r w:rsidR="0009508D" w:rsidRPr="00B67E2E">
        <w:rPr>
          <w:rFonts w:cs="Century Gothic"/>
        </w:rPr>
        <w:t>ä</w:t>
      </w:r>
      <w:r w:rsidR="0009508D" w:rsidRPr="00B67E2E">
        <w:t>llist</w:t>
      </w:r>
      <w:r w:rsidR="0009508D" w:rsidRPr="00B67E2E">
        <w:rPr>
          <w:rFonts w:cs="Century Gothic"/>
        </w:rPr>
        <w:t>ä</w:t>
      </w:r>
      <w:r w:rsidR="0009508D" w:rsidRPr="00B67E2E">
        <w:t xml:space="preserve"> v</w:t>
      </w:r>
      <w:r w:rsidR="0009508D" w:rsidRPr="00B67E2E">
        <w:rPr>
          <w:rFonts w:cs="Century Gothic"/>
        </w:rPr>
        <w:t>ä</w:t>
      </w:r>
      <w:r w:rsidR="0009508D" w:rsidRPr="00B67E2E">
        <w:t>kivaltaa.</w:t>
      </w:r>
      <w:r w:rsidR="00D45758">
        <w:rPr>
          <w:rStyle w:val="Alaviitteenviite"/>
        </w:rPr>
        <w:footnoteReference w:id="66"/>
      </w:r>
    </w:p>
    <w:p w14:paraId="1060E63F" w14:textId="58E35C9A" w:rsidR="00DB5A98" w:rsidRDefault="00DB5A98" w:rsidP="00DB5A98">
      <w:r w:rsidRPr="00B67E2E">
        <w:t xml:space="preserve">Etyj:n raportissa todetaan, että poliisi ei puutu hallituksen kriitikoihin, mukaan lukien toimittajiin ja opposition johtajiin, kohdistuviin hyökkäyksiin. Joidenkin lausuntojen mukaan hyökkäykset ovat koordinoituja turvallisuuspalvelujen kanssa. Joissakin tapauksissa uhrit ovat puolustautuneet, minkä jälkeen heille itselleen on määrätty rangaistuksia, kun taas hyökkääjiä ei ole tunnistettu </w:t>
      </w:r>
      <w:r w:rsidR="00BF5E20">
        <w:t>eikä</w:t>
      </w:r>
      <w:r w:rsidRPr="00B67E2E">
        <w:t xml:space="preserve"> </w:t>
      </w:r>
      <w:r w:rsidR="00BF5E20">
        <w:t>asiaa tutkittu</w:t>
      </w:r>
      <w:r w:rsidRPr="00B67E2E">
        <w:t>. Poliisin riittämätön toiminta hyökkäystilanteissa on vakavasti heikentänyt kansalaisten luottamusta viranomaisiin. Luottamus poliisiin romahti vuosien 2024–2025 tapahtumien jälkeen, eivätkä monet näe hyötyä ilmoittaa rikoksista, koska poliisi on ollut passiivinen tai itse väkivallan tekijä.</w:t>
      </w:r>
      <w:r w:rsidRPr="00B67E2E">
        <w:rPr>
          <w:rStyle w:val="Alaviitteenviite"/>
        </w:rPr>
        <w:footnoteReference w:id="67"/>
      </w:r>
    </w:p>
    <w:p w14:paraId="0669753F" w14:textId="633E6AE4" w:rsidR="00B67E2E" w:rsidRDefault="00B67E2E" w:rsidP="00DB5A98">
      <w:r w:rsidRPr="00B67E2E">
        <w:t xml:space="preserve">Georgian oikeusasiamies on Georgian keskeinen ihmisoikeusvalvonnan instituutio. Se valvoo, että valtio noudattaa ihmisoikeusvelvoitteitaan ja toteuttaa niitä käytännössä. </w:t>
      </w:r>
      <w:r>
        <w:t xml:space="preserve">Euroopan komission </w:t>
      </w:r>
      <w:r w:rsidRPr="00B67E2E">
        <w:t xml:space="preserve">raportin mukaan se hoitaa tehtäväänsä pääosin hyvin, mutta toiminta on osittain valikoivaa. </w:t>
      </w:r>
      <w:r w:rsidR="00BF5E20">
        <w:t>O</w:t>
      </w:r>
      <w:r w:rsidRPr="00B67E2E">
        <w:t>ngelmana on, että valtion viranomaiset eivät juuri noudata sen suosituksia.</w:t>
      </w:r>
      <w:r w:rsidR="00D45758">
        <w:t xml:space="preserve"> </w:t>
      </w:r>
      <w:r w:rsidRPr="00B67E2E">
        <w:t>Georgia on ratifioinut suurimman osan keskeisistä eurooppalaisista ja kansainvälisistä ihmisoikeussopimuksista. Se ei kuitenkaan ole ratifioinut kaikkien henkilöiden suojelemiseksi tahdonvastaiselta katoamiselta tehtyä kansainvälistä yleissopimusta. Yhteistyö Euroopan ihmisoikeustuomioistuimen (EIT) kanssa ja sen tuomioiden täytäntöönpano on puutteellista.</w:t>
      </w:r>
      <w:r w:rsidR="00D45758">
        <w:rPr>
          <w:rStyle w:val="Alaviitteenviite"/>
        </w:rPr>
        <w:footnoteReference w:id="68"/>
      </w:r>
    </w:p>
    <w:p w14:paraId="6CA24C9D" w14:textId="77777777" w:rsidR="009778BB" w:rsidRDefault="009778BB" w:rsidP="009778BB">
      <w:pPr>
        <w:pStyle w:val="Otsikko1"/>
        <w:numPr>
          <w:ilvl w:val="0"/>
          <w:numId w:val="30"/>
        </w:numPr>
      </w:pPr>
      <w:r>
        <w:t xml:space="preserve">Millainen on Georgian ilmaisun- ja mielipiteenvapauden tilanne? </w:t>
      </w:r>
    </w:p>
    <w:p w14:paraId="733CAA4B" w14:textId="2C366CAE" w:rsidR="00690651" w:rsidRPr="00B67E2E" w:rsidRDefault="009778BB" w:rsidP="00543F66">
      <w:pPr>
        <w:rPr>
          <w:i/>
          <w:iCs/>
        </w:rPr>
      </w:pPr>
      <w:r w:rsidRPr="00B67E2E">
        <w:rPr>
          <w:i/>
          <w:iCs/>
        </w:rPr>
        <w:t>Tiedotusvälineiden edustajien toimintaympäristöä</w:t>
      </w:r>
      <w:r w:rsidR="00FC0043" w:rsidRPr="00B67E2E">
        <w:rPr>
          <w:i/>
          <w:iCs/>
        </w:rPr>
        <w:t xml:space="preserve"> sekä</w:t>
      </w:r>
      <w:r w:rsidRPr="00B67E2E">
        <w:rPr>
          <w:i/>
          <w:iCs/>
        </w:rPr>
        <w:t xml:space="preserve"> tiedotusvälineiden edustajiin</w:t>
      </w:r>
      <w:r w:rsidR="00FC0043" w:rsidRPr="00B67E2E">
        <w:rPr>
          <w:i/>
          <w:iCs/>
        </w:rPr>
        <w:t xml:space="preserve"> </w:t>
      </w:r>
      <w:r w:rsidRPr="00B67E2E">
        <w:rPr>
          <w:i/>
          <w:iCs/>
        </w:rPr>
        <w:t>kohdistuvaa viranomaispainostusta ja oikeudenloukkauksia on käsitelty 13.7.2023 julkaistussa kyselyvastauksessa.</w:t>
      </w:r>
      <w:r w:rsidRPr="00B67E2E">
        <w:rPr>
          <w:rStyle w:val="Alaviitteenviite"/>
          <w:i/>
          <w:iCs/>
        </w:rPr>
        <w:footnoteReference w:id="69"/>
      </w:r>
      <w:r w:rsidRPr="00B67E2E">
        <w:rPr>
          <w:i/>
          <w:iCs/>
        </w:rPr>
        <w:t xml:space="preserve"> Poliittisen mielipiteen ilmaisunvapautta </w:t>
      </w:r>
      <w:r w:rsidR="00E653C2" w:rsidRPr="00B67E2E">
        <w:rPr>
          <w:i/>
          <w:iCs/>
        </w:rPr>
        <w:t xml:space="preserve">ja ilmaisunvapauteen liittyviä lakimuutoksia </w:t>
      </w:r>
      <w:r w:rsidRPr="00B67E2E">
        <w:rPr>
          <w:i/>
          <w:iCs/>
        </w:rPr>
        <w:t>on käsitelty 23.5.2025 julkaistussa kyselyvastauksessa.</w:t>
      </w:r>
      <w:r w:rsidRPr="00B67E2E">
        <w:rPr>
          <w:rStyle w:val="Alaviitteenviite"/>
          <w:i/>
          <w:iCs/>
        </w:rPr>
        <w:footnoteReference w:id="70"/>
      </w:r>
    </w:p>
    <w:p w14:paraId="61DD6E39" w14:textId="6BD8D346" w:rsidR="003A7E41" w:rsidRPr="00395047" w:rsidRDefault="003A7E41" w:rsidP="003A7E41">
      <w:r w:rsidRPr="00395047">
        <w:t>GYLA</w:t>
      </w:r>
      <w:r w:rsidR="00395047" w:rsidRPr="00395047">
        <w:t>:n</w:t>
      </w:r>
      <w:r w:rsidRPr="00395047">
        <w:t xml:space="preserve"> joulukuussa 2025 </w:t>
      </w:r>
      <w:r w:rsidR="00395047">
        <w:t>julkaiseman</w:t>
      </w:r>
      <w:r w:rsidRPr="00395047">
        <w:t xml:space="preserve"> ihmisoikeusraportin mukaan vuonna 2025 </w:t>
      </w:r>
      <w:r w:rsidR="00395047">
        <w:t>kokoontumisvapaus oli voimakkaan paineen alla</w:t>
      </w:r>
      <w:r w:rsidRPr="00395047">
        <w:t xml:space="preserve">. Helmikuussa 2025 </w:t>
      </w:r>
      <w:r w:rsidR="00395047">
        <w:t>viranomaiset</w:t>
      </w:r>
      <w:r w:rsidRPr="00395047">
        <w:t xml:space="preserve"> </w:t>
      </w:r>
      <w:r w:rsidR="00395047">
        <w:t>hajottivat</w:t>
      </w:r>
      <w:r w:rsidRPr="00395047">
        <w:t xml:space="preserve"> väkivaltaisesti rauhanomaisen mielenosoituksen, kuten myös marras</w:t>
      </w:r>
      <w:r w:rsidR="00395047">
        <w:t>–</w:t>
      </w:r>
      <w:r w:rsidRPr="00395047">
        <w:t>joulukuussa 2024. Vuoden 2025 aikana mielenosoittajiin kohdistui useita kolmansien osapuolten hyökkäyksiä, joihin poliisi ei reagoinut asianmukaisesti. Kokoontumisvapautta koskeva</w:t>
      </w:r>
      <w:r w:rsidR="00BF5E20">
        <w:t>an</w:t>
      </w:r>
      <w:r w:rsidRPr="00395047">
        <w:t xml:space="preserve"> lainsäädäntö </w:t>
      </w:r>
      <w:r w:rsidR="00BF5E20">
        <w:t>tehtiin lainsäädännöllisiä heikennyksiä</w:t>
      </w:r>
      <w:r w:rsidRPr="00395047">
        <w:t xml:space="preserve"> vuoden aikana, ja </w:t>
      </w:r>
      <w:r w:rsidR="000B22E2" w:rsidRPr="00395047">
        <w:t>hallinnollisia</w:t>
      </w:r>
      <w:r w:rsidRPr="00395047">
        <w:t xml:space="preserve"> pidätyksiä sekä ankaria hallinnollisia sanktioita käytettiin mielivaltaisesti rauhanomaisiin mielenosoituksiin osallistujia vastaan. Huolestuttavaa oli myös poliittisiin syihin perustuvat rikossyytteet ja tuomiot mielenosoittajia vastaan.</w:t>
      </w:r>
      <w:r w:rsidR="009D5EC8" w:rsidRPr="00395047">
        <w:t xml:space="preserve"> Vuonna 2025 rajoitettiin voimakkaasti myös yhdistymis- ja </w:t>
      </w:r>
      <w:r w:rsidR="009D5EC8" w:rsidRPr="00395047">
        <w:lastRenderedPageBreak/>
        <w:t>ilmaisunvapautta, kun ilmaisunvapautta koskeva lainsäädäntökehys ja julkisen keskustelun suojaamiseen tarkoitetut oikeudelliset takeet heikkenivät merkittävästi.</w:t>
      </w:r>
      <w:r w:rsidR="009D5EC8" w:rsidRPr="00395047">
        <w:rPr>
          <w:rStyle w:val="Alaviitteenviite"/>
        </w:rPr>
        <w:footnoteReference w:id="71"/>
      </w:r>
    </w:p>
    <w:p w14:paraId="61342653" w14:textId="5ECD6C90" w:rsidR="0074411C" w:rsidRPr="00395047" w:rsidRDefault="000E168F" w:rsidP="00A65839">
      <w:pPr>
        <w:rPr>
          <w:b/>
          <w:bCs/>
        </w:rPr>
      </w:pPr>
      <w:r w:rsidRPr="00395047">
        <w:rPr>
          <w:b/>
          <w:bCs/>
        </w:rPr>
        <w:t>Ilmaisun</w:t>
      </w:r>
      <w:r w:rsidR="00C4125D" w:rsidRPr="00395047">
        <w:rPr>
          <w:b/>
          <w:bCs/>
        </w:rPr>
        <w:t>- ja kokoontumis</w:t>
      </w:r>
      <w:r w:rsidRPr="00395047">
        <w:rPr>
          <w:b/>
          <w:bCs/>
        </w:rPr>
        <w:t>vapauteen liittyvät l</w:t>
      </w:r>
      <w:r w:rsidR="0074411C" w:rsidRPr="00395047">
        <w:rPr>
          <w:b/>
          <w:bCs/>
        </w:rPr>
        <w:t>akimuutokset ja niiden toimeenpano</w:t>
      </w:r>
    </w:p>
    <w:p w14:paraId="66F1E564" w14:textId="1C091E75" w:rsidR="002230C0" w:rsidRPr="00395047" w:rsidRDefault="002230C0" w:rsidP="00746888">
      <w:r w:rsidRPr="00395047">
        <w:t xml:space="preserve">Etyj:n raportin </w:t>
      </w:r>
      <w:r w:rsidR="00DD3DB8" w:rsidRPr="00395047">
        <w:t>arvion mukaan</w:t>
      </w:r>
      <w:r w:rsidRPr="00395047">
        <w:t xml:space="preserve"> niin sanottujen ulkomaisia agentteja koskevien lakien todellinen tarkoitus on </w:t>
      </w:r>
      <w:r w:rsidR="008B37EC">
        <w:t>leimata, pelotella ja vaientaa hallinnosta riippumattomat ja sitä kritisoivat järjestöt</w:t>
      </w:r>
      <w:r w:rsidRPr="00395047">
        <w:t>.</w:t>
      </w:r>
      <w:r w:rsidR="00E840BB" w:rsidRPr="00395047">
        <w:t xml:space="preserve"> Lait rikkovat kokoontumis- ja yhdistymisvapautta sekä ilmaisunvapautta.</w:t>
      </w:r>
      <w:r w:rsidR="00395047">
        <w:t xml:space="preserve"> </w:t>
      </w:r>
      <w:r w:rsidR="00E840BB" w:rsidRPr="00395047">
        <w:t xml:space="preserve">Samoin </w:t>
      </w:r>
      <w:r w:rsidR="00395047">
        <w:t xml:space="preserve">Etyj:n </w:t>
      </w:r>
      <w:r w:rsidR="00E840BB" w:rsidRPr="00395047">
        <w:t>raportoija arvioi, että</w:t>
      </w:r>
      <w:r w:rsidR="00395047">
        <w:t xml:space="preserve"> laki perhearvoista ja lasten suojelusta</w:t>
      </w:r>
      <w:r w:rsidR="00E840BB" w:rsidRPr="00395047">
        <w:t xml:space="preserve"> rajoittaa kokoontumis- ja yhdistymisvapautta sekä ilmaisunvapautta.</w:t>
      </w:r>
      <w:r w:rsidR="00E840BB" w:rsidRPr="00395047">
        <w:rPr>
          <w:rStyle w:val="Alaviitteenviite"/>
        </w:rPr>
        <w:footnoteReference w:id="72"/>
      </w:r>
      <w:r w:rsidR="00284F91" w:rsidRPr="00395047">
        <w:t xml:space="preserve"> </w:t>
      </w:r>
    </w:p>
    <w:p w14:paraId="691FD99A" w14:textId="383F2841" w:rsidR="00123788" w:rsidRPr="00395047" w:rsidRDefault="00DD3DB8" w:rsidP="00674C6B">
      <w:r w:rsidRPr="00395047">
        <w:t>M</w:t>
      </w:r>
      <w:r w:rsidR="00123788" w:rsidRPr="00395047">
        <w:t xml:space="preserve">arraskuusta 2024 lähtien </w:t>
      </w:r>
      <w:r w:rsidR="00395047">
        <w:t>Georgialainen unelma -valta</w:t>
      </w:r>
      <w:r w:rsidR="00123788" w:rsidRPr="00395047">
        <w:t>puolue on käsitellyt parlamentissa poikkeuksellisen nopeasti useita lakimuutoksia, jotka käytännössä kriminalisoivat monia sellaisia tekoja, jotka ovat olennainen osa rauhanomaista mielenosoittamista.</w:t>
      </w:r>
      <w:r w:rsidR="00662017" w:rsidRPr="00395047">
        <w:t xml:space="preserve"> Esimerkiksi joulukuussa 2024 hyväksytyt muutokset kymmenkertaistivat </w:t>
      </w:r>
      <w:r w:rsidR="008B37EC" w:rsidRPr="00395047">
        <w:t>tavanomaisesta mielenosoitustoiminnasta</w:t>
      </w:r>
      <w:r w:rsidR="008B37EC" w:rsidRPr="00395047">
        <w:t xml:space="preserve"> </w:t>
      </w:r>
      <w:r w:rsidR="008B37EC">
        <w:t xml:space="preserve">langetettavat </w:t>
      </w:r>
      <w:r w:rsidR="00662017" w:rsidRPr="00395047">
        <w:t>sakot</w:t>
      </w:r>
      <w:r w:rsidRPr="00395047">
        <w:t xml:space="preserve"> 500 larista 5 000 lariin (noin 160</w:t>
      </w:r>
      <w:r w:rsidR="00F778A9">
        <w:t xml:space="preserve"> eurosta </w:t>
      </w:r>
      <w:r w:rsidRPr="00395047">
        <w:t xml:space="preserve">1 605 </w:t>
      </w:r>
      <w:r w:rsidR="00F778A9">
        <w:t>euroon</w:t>
      </w:r>
      <w:r w:rsidRPr="00395047">
        <w:t>)</w:t>
      </w:r>
      <w:r w:rsidR="00662017" w:rsidRPr="00395047">
        <w:t xml:space="preserve">, kuten rakennusten sisäänkäyntien </w:t>
      </w:r>
      <w:r w:rsidRPr="00395047">
        <w:t>tukkimisesta</w:t>
      </w:r>
      <w:r w:rsidR="00662017" w:rsidRPr="00395047">
        <w:t xml:space="preserve">, poliittisten graffitien maalaamisesta, maskin käyttämisestä tai laserosoittimen hallussapidosta. Uusi </w:t>
      </w:r>
      <w:r w:rsidR="008B37EC">
        <w:t>enimmäis</w:t>
      </w:r>
      <w:r w:rsidR="00662017" w:rsidRPr="00395047">
        <w:t xml:space="preserve">sakko vastaa noin </w:t>
      </w:r>
      <w:r w:rsidR="008B37EC">
        <w:t>kahden kuukauden keskiansiota</w:t>
      </w:r>
      <w:r w:rsidR="00662017" w:rsidRPr="00395047">
        <w:t>. Vaikka</w:t>
      </w:r>
      <w:r w:rsidR="00674C6B" w:rsidRPr="00395047">
        <w:t xml:space="preserve"> sakot ovat suuruudeltaan samalla tasolla kuin rikosoikeudelliset rangaistukset, käsitellään ne hallinnollisina rikkomuksina</w:t>
      </w:r>
      <w:r w:rsidR="00662017" w:rsidRPr="00395047">
        <w:t>, jolloin syytetyiltä puuttuvat rikosprosessin oikeusturva</w:t>
      </w:r>
      <w:r w:rsidR="00674C6B" w:rsidRPr="00395047">
        <w:t>takeet</w:t>
      </w:r>
      <w:r w:rsidR="00662017" w:rsidRPr="00395047">
        <w:t xml:space="preserve">. </w:t>
      </w:r>
      <w:r w:rsidR="00674C6B" w:rsidRPr="00395047">
        <w:t>Joulukuun 2024</w:t>
      </w:r>
      <w:r w:rsidR="00662017" w:rsidRPr="00395047">
        <w:t xml:space="preserve"> muutokset antoivat poliisille myös epämääräisiä ennaltaehkäiseviä pidätysvaltuuksia: henkilö voidaan ottaa kiinni jopa 48 tunniksi, jos hän on aiemmin saanut hallinnollisen rangaistuksen ja poliisi arvioi hänen todennäköisesti rikkovan sääntöjä uudelleen. Tällaiset perusteet eivät täytä kansainvälisiä ihmisoikeusnormeja ja rikkovat mielivaltaisen pidätyksen kieltoa. Helmikuussa 2025 hyväksytyt muutokset pidentävät hallinnollisten rikkomusten perusteella määrättävää pidätystä 15 päivästä 60 päivään. Muutosta sovelletaan lähes yksinomaan mielenosoituksiin liittyviin tekoihin, kuten lievään huliganismiin, poliisin määräysten noudattamatta jättämiseen tai kokoontumissääntöjen rikkomiseen. </w:t>
      </w:r>
      <w:r w:rsidR="008B37EC">
        <w:t>Lainsäädäntöön lisättiin myös</w:t>
      </w:r>
      <w:r w:rsidR="00662017" w:rsidRPr="00395047">
        <w:t xml:space="preserve"> uusia rikkomuksia, kuten viranomaisten sanallinen loukkaaminen, josta voidaan määrätä jopa 45 päivän pidätys. Spontaanit kokoontumiset asetettiin ilmoitusvelvollisuuden piiriin, ja sisätiloissa järjestettäville kokoontumisille vaaditaan ennakkolupa.</w:t>
      </w:r>
      <w:r w:rsidR="00662017" w:rsidRPr="00395047">
        <w:rPr>
          <w:rStyle w:val="Alaviitteenviite"/>
        </w:rPr>
        <w:footnoteReference w:id="73"/>
      </w:r>
    </w:p>
    <w:p w14:paraId="331DBBF3" w14:textId="2BA7F568" w:rsidR="00662017" w:rsidRPr="00395047" w:rsidRDefault="00662017" w:rsidP="00A65839">
      <w:r w:rsidRPr="00395047">
        <w:t xml:space="preserve">Heinäkuussa 2025 parlamentti hyväksyi lisätoimia, joiden mukaan henkilö voidaan määrätä automaattisesti 30–60 päivän pidätykseen, jos hänellä on maksamattomia aiempia sakkoja ja hän syyllistyy uuteen, vähäiseenkin </w:t>
      </w:r>
      <w:r w:rsidR="00674C6B" w:rsidRPr="00395047">
        <w:t>mielenosoitukseen tai kokoontumiseen</w:t>
      </w:r>
      <w:r w:rsidRPr="00395047">
        <w:t xml:space="preserve"> liittyvään rikkomukseen. Lokakuussa 2025 hyväksytyt muutokset nostivat toistuvat vähäiset teot</w:t>
      </w:r>
      <w:r w:rsidR="00674C6B" w:rsidRPr="00395047">
        <w:t xml:space="preserve">, </w:t>
      </w:r>
      <w:r w:rsidRPr="00395047">
        <w:t xml:space="preserve">kuten maskin käytön, tien tukkimisen, väliaikaisten rakenteiden pystyttämisen tai poliisin </w:t>
      </w:r>
      <w:r w:rsidR="008B37EC">
        <w:t>hajottamaan</w:t>
      </w:r>
      <w:r w:rsidRPr="00395047">
        <w:t xml:space="preserve"> mielenosoitukseen osallistumisen</w:t>
      </w:r>
      <w:r w:rsidR="00674C6B" w:rsidRPr="00395047">
        <w:t xml:space="preserve">, </w:t>
      </w:r>
      <w:r w:rsidRPr="00395047">
        <w:t xml:space="preserve">rikoksiksi, joista voidaan tuomita jopa kahden vuoden </w:t>
      </w:r>
      <w:r w:rsidR="00674C6B" w:rsidRPr="00395047">
        <w:t>vankeuteen</w:t>
      </w:r>
      <w:r w:rsidRPr="00395047">
        <w:t xml:space="preserve">. Järjestäjiksi katsotuille rangaistus voi olla jopa neljä vuotta. </w:t>
      </w:r>
      <w:r w:rsidR="008B37EC">
        <w:t>Lakimuutosten myötä</w:t>
      </w:r>
      <w:r w:rsidRPr="00395047">
        <w:t xml:space="preserve"> tavanomaisesta mielenosoitustoiminnasta voi seurata rikosoikeudellisia rangaistuksia. Samalla sääntely muuttuu niin epäselväksi, että ihmiset eivät voi enää tietää, mikä on sallittua, ja poliisin harkintavalta puuttua kokoontumisiin kasvaa huomattavasti.</w:t>
      </w:r>
      <w:r w:rsidRPr="00395047">
        <w:rPr>
          <w:rStyle w:val="Alaviitteenviite"/>
        </w:rPr>
        <w:footnoteReference w:id="74"/>
      </w:r>
    </w:p>
    <w:p w14:paraId="1308737D" w14:textId="5EA55391" w:rsidR="00662017" w:rsidRDefault="00395047" w:rsidP="00144AAB">
      <w:r>
        <w:t xml:space="preserve">HRW:n mukaan </w:t>
      </w:r>
      <w:r w:rsidR="00674C6B" w:rsidRPr="00395047">
        <w:t>Georgian v</w:t>
      </w:r>
      <w:r w:rsidR="00662017" w:rsidRPr="00395047">
        <w:t xml:space="preserve">iranomaiset ovat toimeenpanneet uusia rajoituksia mielivaltaisilla pidätyksillä ja hallinnollisilla prosesseilla, joissa rangaistukset vastaavat rikosoikeudellisia seuraamuksia. Poliisi on pidättänyt mielenosoittajia esimerkiksi maskin käytöstä, </w:t>
      </w:r>
      <w:r w:rsidR="00674C6B" w:rsidRPr="00395047">
        <w:t>hetkeksi tielle astumisesta</w:t>
      </w:r>
      <w:r w:rsidR="00662017" w:rsidRPr="00395047">
        <w:t xml:space="preserve"> tai väitetystä liikenteen estämisestä. Puolustusasianajajien mukaan tuomiot perustuvat usein valvontakameramateriaaliin ja kasvojentunnistukseen, vaikka todisteet eivät </w:t>
      </w:r>
      <w:r w:rsidR="00662017" w:rsidRPr="00395047">
        <w:lastRenderedPageBreak/>
        <w:t xml:space="preserve">riittäisi osoittamaan rikkomusta. </w:t>
      </w:r>
      <w:r w:rsidR="008B37EC">
        <w:t xml:space="preserve">Mielenosoittajia tunnistavat poliisit </w:t>
      </w:r>
      <w:r w:rsidR="00662017" w:rsidRPr="00395047">
        <w:t xml:space="preserve">eivät joudu oikeudessa kuulusteltaviksi, ja tuomarit sivuuttavat pidätyksen edellyttämät oikeusturvavaatimukset. Sakot ovat olleet äärimmäisen ankaria ja suhteettomia. Esimerkiksi opettaja ja tutkija Gota Chanturia sai 365 000 larin (noin </w:t>
      </w:r>
      <w:r w:rsidR="00674C6B" w:rsidRPr="00395047">
        <w:t>117 230 euroa</w:t>
      </w:r>
      <w:r w:rsidR="00662017" w:rsidRPr="00395047">
        <w:t xml:space="preserve">) sakot 73 väitetystä ”tien tukkimisesta”. Poliisin todisteena oli lyhyitä videopätkiä, joissa </w:t>
      </w:r>
      <w:r w:rsidRPr="00395047">
        <w:t xml:space="preserve">Chanturia </w:t>
      </w:r>
      <w:r w:rsidR="00662017" w:rsidRPr="00395047">
        <w:t xml:space="preserve">seisoi rauhallisesti tiellä parlamentin lähellä. Tuomioistuimet </w:t>
      </w:r>
      <w:r w:rsidR="00144AAB" w:rsidRPr="00395047">
        <w:t>vahvistivat sisäministeriön määräämät sakot ilman suhteellisuusarviointia</w:t>
      </w:r>
      <w:r w:rsidR="00662017" w:rsidRPr="00395047">
        <w:t>. Samanlaisia tapauksia on kymmeniä</w:t>
      </w:r>
      <w:r>
        <w:t>. R</w:t>
      </w:r>
      <w:r w:rsidR="00662017" w:rsidRPr="00395047">
        <w:t xml:space="preserve">angaistuksia määrätään ilman </w:t>
      </w:r>
      <w:r w:rsidR="008B37EC">
        <w:t>asianmukaista</w:t>
      </w:r>
      <w:r w:rsidR="00662017" w:rsidRPr="00395047">
        <w:t xml:space="preserve"> todisteiden arviointia ja ilman, että sakkojen kohtuullisuutta punnitaan.</w:t>
      </w:r>
      <w:r w:rsidR="00662017" w:rsidRPr="00395047">
        <w:rPr>
          <w:rStyle w:val="Alaviitteenviite"/>
        </w:rPr>
        <w:footnoteReference w:id="75"/>
      </w:r>
    </w:p>
    <w:p w14:paraId="364D6AFF" w14:textId="3315EB2D" w:rsidR="0030232A" w:rsidRPr="00395047" w:rsidRDefault="00A65839" w:rsidP="00A65839">
      <w:r w:rsidRPr="00395047">
        <w:t xml:space="preserve">Joulukuussa 2025 hyväksytyt muutokset kokoontumis- ja mielenosoituslakiin antavat poliisille laajat valtuudet rajoittaa protesteja ajoradoilla ja jalankulkualueilla, myös jalkakäytävillä, ja määrätä ankaria rangaistuksia määräysten noudattamatta jättämisestä. </w:t>
      </w:r>
      <w:r w:rsidR="00382CCA" w:rsidRPr="00395047">
        <w:t>Mielenosoituksesta on ilmoitettava 5 päivää etukäteen, ja poliisi voi määrätä sen siirrettäväksi. Ilmoittamatta jättäminen tai poliisin käskyjen noudattamatta jättäminen voi johtaa jopa 15</w:t>
      </w:r>
      <w:r w:rsidR="00395047">
        <w:t>–</w:t>
      </w:r>
      <w:r w:rsidR="00382CCA" w:rsidRPr="00395047">
        <w:t xml:space="preserve">20 päivän pidätykseen. Toistuva rikkomus voi johtaa rikosoikeudelliseen vastuuseen ja jopa vuoden vankeusrangaistukseen. </w:t>
      </w:r>
      <w:r w:rsidR="002940A0" w:rsidRPr="00395047">
        <w:t xml:space="preserve">Lain voimaantulon jälkeen poliisi on </w:t>
      </w:r>
      <w:r w:rsidRPr="00395047">
        <w:t xml:space="preserve">aloittanut kymmeniä tutkintaprosesseja </w:t>
      </w:r>
      <w:r w:rsidR="002940A0" w:rsidRPr="00395047">
        <w:t>mielenosoittajia vastaan</w:t>
      </w:r>
      <w:r w:rsidRPr="00395047">
        <w:t xml:space="preserve">. </w:t>
      </w:r>
      <w:r w:rsidR="008B37EC">
        <w:t>Joissain tapauksissa</w:t>
      </w:r>
      <w:r w:rsidRPr="00395047">
        <w:t xml:space="preserve"> henkilöt ovat vain seisseet jalkakäytävällä parlamentin lähellä. Tämä on herättänyt vakavia huolia </w:t>
      </w:r>
      <w:r w:rsidR="002940A0" w:rsidRPr="00395047">
        <w:t>vallan väärinkäytöstä ja Georgian kansainvälisten ihmisoikeusvelvoitteiden rikkomisesta</w:t>
      </w:r>
      <w:r w:rsidR="000059C0" w:rsidRPr="00395047">
        <w:t xml:space="preserve">. HRW:n mukaan Georgian viranomaiset käyttävät uusia rajoituksia </w:t>
      </w:r>
      <w:r w:rsidR="008B37EC" w:rsidRPr="00395047">
        <w:t xml:space="preserve">mielivaltaisesti </w:t>
      </w:r>
      <w:r w:rsidR="000059C0" w:rsidRPr="00395047">
        <w:t>pidättääkseen ja häiritäkseen rauhanomaisia mielenosoittajia, mikä seurauksena protestointi on yhä vaikeampaa ja vaarallisempaa Georgiassa.</w:t>
      </w:r>
      <w:r w:rsidR="002351E0" w:rsidRPr="00395047">
        <w:rPr>
          <w:rStyle w:val="Alaviitteenviite"/>
        </w:rPr>
        <w:footnoteReference w:id="76"/>
      </w:r>
    </w:p>
    <w:p w14:paraId="41D14946" w14:textId="469BB60D" w:rsidR="000059C0" w:rsidRPr="00395047" w:rsidRDefault="000059C0" w:rsidP="00B216A7">
      <w:pPr>
        <w:tabs>
          <w:tab w:val="center" w:pos="4513"/>
        </w:tabs>
      </w:pPr>
      <w:r w:rsidRPr="00395047">
        <w:t xml:space="preserve">Helmikuussa 2026 Georgian hallituksen uutisoitiin valmistelevan </w:t>
      </w:r>
      <w:r w:rsidR="00B216A7" w:rsidRPr="00395047">
        <w:t xml:space="preserve">uusia, mielenosoituksia rajoittavia lakeja. Hallituksen esittelemä lakipaketti laajentaisi poliisin valtuuksia hajottaa mielenosoituksia, kiristäisi ennakkoilmoitusvaatimuksia </w:t>
      </w:r>
      <w:r w:rsidR="008B37EC">
        <w:t>sekä</w:t>
      </w:r>
      <w:r w:rsidR="00B216A7" w:rsidRPr="00395047">
        <w:t xml:space="preserve"> </w:t>
      </w:r>
      <w:r w:rsidR="008B37EC">
        <w:t>kasvattaisi sakkojen suuruutta</w:t>
      </w:r>
      <w:r w:rsidR="00B216A7" w:rsidRPr="00395047">
        <w:t xml:space="preserve"> </w:t>
      </w:r>
      <w:r w:rsidR="008B37EC">
        <w:t>ja</w:t>
      </w:r>
      <w:r w:rsidR="00B216A7" w:rsidRPr="00395047">
        <w:t xml:space="preserve"> pidätysaikoja. Oikeusasiantuntijoiden mukaan tämä tekisi pienist</w:t>
      </w:r>
      <w:r w:rsidR="008B37EC">
        <w:t>ä</w:t>
      </w:r>
      <w:r w:rsidR="00B216A7" w:rsidRPr="00395047">
        <w:t xml:space="preserve"> paikallaan pysyvistä mielenosoituksista käytännössä laittomia ja loisi pelon ilmapiirin, jossa ihmiset eivät enää tiedä, mikä on sallittua.</w:t>
      </w:r>
      <w:r w:rsidR="00B216A7" w:rsidRPr="00395047">
        <w:rPr>
          <w:rStyle w:val="Alaviitteenviite"/>
        </w:rPr>
        <w:footnoteReference w:id="77"/>
      </w:r>
    </w:p>
    <w:p w14:paraId="7844A745" w14:textId="24062BEF" w:rsidR="000E168F" w:rsidRDefault="00284F91" w:rsidP="000E168F">
      <w:r w:rsidRPr="00395047">
        <w:t xml:space="preserve">HRW:n mukaan avoin pelottelu, mielivaltaiset pidätykset ja erittäin suuret sakot ovat luoneet tilanteen, jossa ihmiset pelkäävät osallistua rauhanomaisiin mielenosoituksiin. </w:t>
      </w:r>
      <w:r w:rsidR="000E168F" w:rsidRPr="00395047">
        <w:t>Sisäministeriö julkaisee vain rajallisesti tilastotietoa, joten rangaistusten kokonaismäär</w:t>
      </w:r>
      <w:r w:rsidR="00395047">
        <w:t>iä</w:t>
      </w:r>
      <w:r w:rsidR="000E168F" w:rsidRPr="00395047">
        <w:t xml:space="preserve"> on vaikea arvioida. </w:t>
      </w:r>
      <w:r w:rsidR="008B37EC">
        <w:t>S</w:t>
      </w:r>
      <w:r w:rsidR="000E168F" w:rsidRPr="00395047">
        <w:t>aatavilla olevat luvut ovat hälyttäviä: vuonna 2024 ja vuoden 2025 ensimmäisten yhdeksän kuukauden aikana viranomaiset määräsivät 4 444 rangaistusta lievästä huliganismista</w:t>
      </w:r>
      <w:r w:rsidRPr="00395047">
        <w:t xml:space="preserve"> ja </w:t>
      </w:r>
      <w:r w:rsidR="000E168F" w:rsidRPr="00395047">
        <w:t xml:space="preserve">6 725 </w:t>
      </w:r>
      <w:r w:rsidR="00F778A9">
        <w:t xml:space="preserve">rangaistusta </w:t>
      </w:r>
      <w:r w:rsidR="000E168F" w:rsidRPr="00395047">
        <w:t>poliisin määräysten noudattamatta jättämisestä</w:t>
      </w:r>
      <w:r w:rsidR="002B6011" w:rsidRPr="00395047">
        <w:t>.</w:t>
      </w:r>
      <w:r w:rsidR="000E168F" w:rsidRPr="00395047">
        <w:rPr>
          <w:rStyle w:val="Alaviitteenviite"/>
        </w:rPr>
        <w:footnoteReference w:id="78"/>
      </w:r>
      <w:r w:rsidR="000E168F" w:rsidRPr="00395047">
        <w:t xml:space="preserve"> </w:t>
      </w:r>
      <w:r w:rsidR="008B37EC" w:rsidRPr="008B37EC">
        <w:t>GYLA:n mukaan hallinnollisten rikkomusmenettelyjen suuri määrä osoittaa, että hallinnollisia rikkomuksia koskevia menettelyjä käytetään rangaistuksena mielenosoituksiin osallistuvia vastaan ja pelotteena mielenosoittajille</w:t>
      </w:r>
      <w:r w:rsidR="007C0D02" w:rsidRPr="00395047">
        <w:t xml:space="preserve">. </w:t>
      </w:r>
      <w:r w:rsidR="00107F07" w:rsidRPr="00395047">
        <w:t xml:space="preserve">Hallinnollista pidätystä käytettiin mielivaltaisesti sekä mielenosoittajiin että </w:t>
      </w:r>
      <w:r w:rsidR="008B37EC">
        <w:t>kritiikkiä esittäneisiin</w:t>
      </w:r>
      <w:r w:rsidR="00107F07" w:rsidRPr="00395047">
        <w:t xml:space="preserve"> kansalaisiin. Pidätyksiä on tehty esimerkiksi tuolin tuomisesta parlamenttiin tai taputtamisesta. GYLA:n mukaan pidätykset ovat systemaattisia. Pidätysten lisäksi </w:t>
      </w:r>
      <w:r w:rsidR="001D4E47" w:rsidRPr="00395047">
        <w:t>vuonna 2025</w:t>
      </w:r>
      <w:r w:rsidR="001D4E47">
        <w:t xml:space="preserve"> </w:t>
      </w:r>
      <w:r w:rsidR="00107F07" w:rsidRPr="00395047">
        <w:t xml:space="preserve">poliisi yhä </w:t>
      </w:r>
      <w:r w:rsidR="001D4E47">
        <w:t>useammin</w:t>
      </w:r>
      <w:r w:rsidR="00107F07" w:rsidRPr="00395047">
        <w:t xml:space="preserve"> pysäytti ja tarkasti kansalaisia. Lokakuussa 2025 hyväksyttyjen lakimuutosten jälkeen alkoi uusi mielenosoittajien pidätysten ja mellakkasyytösten aalto. Marraskuussa 2025 kirjattiin ensimmäinen tapaus, jossa henkilöä syytettiin rikosoikeudellisesti toistuvasta hallinnollisesta kokoontumissääntöjen rikkomisesta. Tapaus koski laitonta tien tukkimista.</w:t>
      </w:r>
      <w:r w:rsidR="007C0D02" w:rsidRPr="00395047">
        <w:rPr>
          <w:rStyle w:val="Alaviitteenviite"/>
        </w:rPr>
        <w:footnoteReference w:id="79"/>
      </w:r>
    </w:p>
    <w:p w14:paraId="3F59AA15" w14:textId="1BD02D0B" w:rsidR="00144AAB" w:rsidRDefault="00C4125D" w:rsidP="001D4E47">
      <w:r w:rsidRPr="001D4E47">
        <w:lastRenderedPageBreak/>
        <w:t xml:space="preserve">Helmikuussa 2025 hallinnollisten rikkomusten lakiin lisättiin </w:t>
      </w:r>
      <w:r w:rsidR="001D4E47">
        <w:t>uusi pykälä,</w:t>
      </w:r>
      <w:r w:rsidRPr="001D4E47">
        <w:t xml:space="preserve"> joka tekee poliittisiin viranhaltijoihin tai virkamiehiin kohdistuvista sanallisista loukkauksista, kiroilusta ja muista ”loukkaavista teoista” rangaistavia. Rangaistuksena </w:t>
      </w:r>
      <w:r w:rsidR="008B37EC">
        <w:t>langetetaan</w:t>
      </w:r>
      <w:r w:rsidRPr="001D4E47">
        <w:t xml:space="preserve"> teon toistuvuudesta riippuen 1 500–6 000 larin (noin 480</w:t>
      </w:r>
      <w:r w:rsidR="001D4E47">
        <w:t>–</w:t>
      </w:r>
      <w:r w:rsidRPr="001D4E47">
        <w:t xml:space="preserve">1 920 euroa) sakot ja jopa 60 päivän hallinnollinen vankeus. Pykälä on hyvin epämääräinen ja tulkinnanvarainen, koska se ei määrittele, mitä loukkaus tai loukkaava teko tarkoittaa, mikä mahdollistaa mielivaltaisen soveltamisen. Muutokset rajoittavat ilmaisunvapautta ja luovat pelotevaikutuksen, joka kohdistuu erityisesti Georgialainen </w:t>
      </w:r>
      <w:r w:rsidR="001D4E47">
        <w:t>u</w:t>
      </w:r>
      <w:r w:rsidRPr="001D4E47">
        <w:t xml:space="preserve">nelma -puoluetta kritisoiviin henkilöihin. Kesäkuussa 2025 kunnianloukkauslainsäädäntöä kiristettiin muun muassa siirtämällä todistustaakka vastaajalle. Muutokset heikentävät merkittävästi julkista keskustelua ja </w:t>
      </w:r>
      <w:r w:rsidR="008B37EC">
        <w:t>mahdollistavat tilanteen</w:t>
      </w:r>
      <w:r w:rsidRPr="001D4E47">
        <w:t xml:space="preserve">, </w:t>
      </w:r>
      <w:r w:rsidR="00640E41">
        <w:t>jossa</w:t>
      </w:r>
      <w:r w:rsidRPr="001D4E47">
        <w:t xml:space="preserve"> poliittisesti tai taloudellisesti vaikutusvaltaiset henkilöt nostavat perusteettomia kunnianloukkauskanteita aktiivisia kansalaisia vastaan rajoittaakseen heidän ilmaisunvapauttaan ja aiheuttaakseen taloudellista rasitusta. Lakimuutosten myötä hallinnollisia menettelyjä on aloitettu aktivisteja ja Georgialainen </w:t>
      </w:r>
      <w:r w:rsidR="001D4E47">
        <w:t>u</w:t>
      </w:r>
      <w:r w:rsidRPr="001D4E47">
        <w:t xml:space="preserve">nelma -puolueen kriitikoita vastaan. Tuomioistuimet ovat määränneet ankaria sakkoja ja hallinnollista vankeutta, </w:t>
      </w:r>
      <w:r w:rsidR="00640E41">
        <w:t>minimirangaistuksia määrätään harvoin</w:t>
      </w:r>
      <w:r w:rsidRPr="001D4E47">
        <w:t>.</w:t>
      </w:r>
      <w:r w:rsidRPr="001D4E47">
        <w:rPr>
          <w:rStyle w:val="Alaviitteenviite"/>
        </w:rPr>
        <w:footnoteReference w:id="80"/>
      </w:r>
    </w:p>
    <w:p w14:paraId="29764122" w14:textId="73F3E401" w:rsidR="002B6011" w:rsidRDefault="00BE369A" w:rsidP="0059535B">
      <w:pPr>
        <w:rPr>
          <w:b/>
          <w:bCs/>
        </w:rPr>
      </w:pPr>
      <w:r>
        <w:rPr>
          <w:b/>
          <w:bCs/>
        </w:rPr>
        <w:t>K</w:t>
      </w:r>
      <w:r w:rsidR="001B0F3E">
        <w:rPr>
          <w:b/>
          <w:bCs/>
        </w:rPr>
        <w:t>asvojentunnistuskamer</w:t>
      </w:r>
      <w:r>
        <w:rPr>
          <w:b/>
          <w:bCs/>
        </w:rPr>
        <w:t xml:space="preserve">oiden käyttö </w:t>
      </w:r>
    </w:p>
    <w:p w14:paraId="40FF85F4" w14:textId="5A937BE1" w:rsidR="002B6011" w:rsidRDefault="002B6011" w:rsidP="0059535B">
      <w:r w:rsidRPr="001D4E47">
        <w:t xml:space="preserve">Kuten 23.5.2025 julkaistussa kyselyvastauksessa todetaan, valvontakameroiden määrä on kasvanut nopeasti eri puolilla Georgiaa. Kameroiden määrä on tiettävästi kasvanut erityisesti mielenosoitusten tapahtumapaikoilla. Lisäksi eri puolille Georgiaa on asennettu </w:t>
      </w:r>
      <w:r w:rsidR="001B0F3E" w:rsidRPr="001D4E47">
        <w:t>tuhansia niin kutsuttuja älykameroita</w:t>
      </w:r>
      <w:r w:rsidRPr="001D4E47">
        <w:t>. Georgialla on käytössä erilaisia kasvojentunnistusvälineitä. Hallituksen hankkimat kiinalaiset huipputeknologian valvontakamerat, jotka on yhdistetty tekoälyyn perustuvaan kasvojentunnistukseen, ovat herättäneet mielenosoittajien ja ihmisoikeustoimijoiden keskuudessa pelkoa siitä, että viranomaiset käyttävät teknologiaa toisinajattelijoiden seuraamiseen ja pelotteluun.</w:t>
      </w:r>
      <w:r w:rsidRPr="001D4E47">
        <w:rPr>
          <w:rStyle w:val="Alaviitteenviite"/>
        </w:rPr>
        <w:footnoteReference w:id="81"/>
      </w:r>
      <w:r>
        <w:t xml:space="preserve"> </w:t>
      </w:r>
    </w:p>
    <w:p w14:paraId="77C0FFAA" w14:textId="57DCBBAF" w:rsidR="009F1CC5" w:rsidRPr="005B2120" w:rsidRDefault="00363C8F" w:rsidP="0059535B">
      <w:r w:rsidRPr="001D4E47">
        <w:t>Tammikuussa 2026 Balkan Insight -sivustolla julkaistussa artikkelissa kuvaillaan, kuinka kiinalaisvalmisteiset kasvojentunnistuskamerat seuraavat mielenosoituspaikkoja, mikä mahdollistaa yksittäisten mielenosoittajien tunnistamisen ja sakottamisen. Viranomaiset lähettävät sakkoja postitse kameratunnistuksen perusteella.</w:t>
      </w:r>
      <w:r w:rsidRPr="001D4E47">
        <w:rPr>
          <w:rStyle w:val="Alaviitteenviite"/>
        </w:rPr>
        <w:footnoteReference w:id="82"/>
      </w:r>
      <w:r w:rsidRPr="001D4E47">
        <w:t xml:space="preserve"> </w:t>
      </w:r>
      <w:r w:rsidR="001B0F3E" w:rsidRPr="001D4E47">
        <w:t>GYLA:n</w:t>
      </w:r>
      <w:r w:rsidRPr="001D4E47">
        <w:t xml:space="preserve"> vuotta 2025 käsittelevän</w:t>
      </w:r>
      <w:r w:rsidR="001B0F3E" w:rsidRPr="001D4E47">
        <w:t xml:space="preserve"> </w:t>
      </w:r>
      <w:r w:rsidRPr="001D4E47">
        <w:t>ihmisoikeus</w:t>
      </w:r>
      <w:r w:rsidR="001B0F3E" w:rsidRPr="001D4E47">
        <w:t>raportin mukaa</w:t>
      </w:r>
      <w:r w:rsidRPr="001D4E47">
        <w:t xml:space="preserve">n sisäministeriö käyttää laajasti kasvojentunnistuskameroiden tallenteita mielenosoittajia vastaan rikosasioissa, erityisesti tiesulkuihin liittyvissä tapauksissa. Monissa tapauksissa valokuvia pidettiin riittävänä näyttönä ilman arviointia tunnistamisen laillisuudesta tai tietokantojen käyttöoikeuksista. Käytäntö loi pelotevaikutuksen ja johti itsesensuuriin. Euroopan ihmisoikeustuomioistuin on todennut kasvojentunnistuksen ja vastaavan valvonnan loukkaavan yksityisyyttä ja ilmaisunvapautta, ja </w:t>
      </w:r>
      <w:r w:rsidR="001D4E47" w:rsidRPr="001D4E47">
        <w:t xml:space="preserve">Etyj:n Demokraattisten instituutioiden ja ihmisoikeuksien toimisto </w:t>
      </w:r>
      <w:r w:rsidRPr="001D4E47">
        <w:t>ODIHR on korostanut, ettei teknologiaa tule käyttää rauhanomaisiin kokoontumisiin osallistuvia vastaan.</w:t>
      </w:r>
      <w:r w:rsidRPr="001D4E47">
        <w:rPr>
          <w:rStyle w:val="Alaviitteenviite"/>
        </w:rPr>
        <w:footnoteReference w:id="83"/>
      </w:r>
    </w:p>
    <w:p w14:paraId="3E6C15B2" w14:textId="7B6D77D4" w:rsidR="00694AA1" w:rsidRPr="00F37674" w:rsidRDefault="00694AA1" w:rsidP="0059535B">
      <w:pPr>
        <w:rPr>
          <w:b/>
          <w:bCs/>
        </w:rPr>
      </w:pPr>
      <w:r w:rsidRPr="00F37674">
        <w:rPr>
          <w:b/>
          <w:bCs/>
        </w:rPr>
        <w:t>Toimittajat</w:t>
      </w:r>
      <w:r w:rsidR="00F37674" w:rsidRPr="00F37674">
        <w:rPr>
          <w:b/>
          <w:bCs/>
        </w:rPr>
        <w:t xml:space="preserve"> ja </w:t>
      </w:r>
      <w:r w:rsidR="005B2120">
        <w:rPr>
          <w:b/>
          <w:bCs/>
        </w:rPr>
        <w:t>lehdistön</w:t>
      </w:r>
      <w:r w:rsidR="00F37674" w:rsidRPr="00F37674">
        <w:rPr>
          <w:b/>
          <w:bCs/>
        </w:rPr>
        <w:t>vapa</w:t>
      </w:r>
      <w:r w:rsidR="00F37674">
        <w:rPr>
          <w:b/>
          <w:bCs/>
        </w:rPr>
        <w:t>us</w:t>
      </w:r>
    </w:p>
    <w:p w14:paraId="2FB804E5" w14:textId="7EEAB875" w:rsidR="00407E1D" w:rsidRDefault="008A5AC6" w:rsidP="00284F91">
      <w:r w:rsidRPr="001D4E47">
        <w:t xml:space="preserve">Useat Georgiassa viime vuosina hyväksytyt lait, mukaan lukien TFI- ja FARA-lait, apurahoja sekä lähetystoimintaa koskevat lait sekä </w:t>
      </w:r>
      <w:r w:rsidR="001D4E47" w:rsidRPr="001D4E47">
        <w:t>laki perhearvoista ja lasten suojelusta</w:t>
      </w:r>
      <w:r w:rsidRPr="001D4E47">
        <w:t xml:space="preserve">, </w:t>
      </w:r>
      <w:r w:rsidR="001D4E47">
        <w:t>kohdistuvat</w:t>
      </w:r>
      <w:r w:rsidRPr="001D4E47">
        <w:t xml:space="preserve"> suoraan riippumattomiin medioihin, erityisesti niihin, joilla on kansainvälistä yhteistyötä tai rahoitusta. </w:t>
      </w:r>
      <w:r w:rsidR="00407E1D" w:rsidRPr="001D4E47">
        <w:t>Uusi lainsäädäntö</w:t>
      </w:r>
      <w:r w:rsidRPr="001D4E47">
        <w:t xml:space="preserve"> </w:t>
      </w:r>
      <w:r w:rsidR="00407E1D" w:rsidRPr="001D4E47">
        <w:t>vaikuttaa kielteisesti sananvapauteen ja median kykyyn toimia vapaasti.</w:t>
      </w:r>
      <w:r w:rsidR="009F6E04">
        <w:rPr>
          <w:rStyle w:val="Alaviitteenviite"/>
        </w:rPr>
        <w:footnoteReference w:id="84"/>
      </w:r>
      <w:r w:rsidR="00407E1D" w:rsidRPr="001D4E47">
        <w:t xml:space="preserve"> </w:t>
      </w:r>
      <w:r w:rsidR="001D4E47" w:rsidRPr="001D4E47">
        <w:t xml:space="preserve">Toimittajat ilman rajoja </w:t>
      </w:r>
      <w:r w:rsidR="001D4E47">
        <w:t xml:space="preserve">-järjestö (RSF) </w:t>
      </w:r>
      <w:r w:rsidR="00D240B6" w:rsidRPr="001D4E47">
        <w:t xml:space="preserve">toteaa marraskuussa 2025 julkaistussa artikkelissa, että </w:t>
      </w:r>
      <w:r w:rsidR="00D240B6" w:rsidRPr="001D4E47">
        <w:lastRenderedPageBreak/>
        <w:t xml:space="preserve">lehdistönvapauden tila Georgiassa on heikentynyt </w:t>
      </w:r>
      <w:r w:rsidR="00640E41">
        <w:t>merkittävästi</w:t>
      </w:r>
      <w:r w:rsidR="00D240B6" w:rsidRPr="001D4E47">
        <w:t xml:space="preserve"> marraskuun 2024 jälkeen, kun pääministeri ilmoitti EU-jäsenyysneuvottelujen keskeyttämisestä. </w:t>
      </w:r>
      <w:r w:rsidR="00407E1D" w:rsidRPr="001D4E47">
        <w:t>Korruptionvastainen virasto on avannut perusteettomia tutkintoja vähintään kuutta riippumatonta mediatoimijaa vastaan. Julkinen yleisradioyhtiö GPB</w:t>
      </w:r>
      <w:r w:rsidR="00D240B6" w:rsidRPr="001D4E47">
        <w:t xml:space="preserve"> ei toimi riippumattomasti</w:t>
      </w:r>
      <w:r w:rsidR="004316F2">
        <w:t xml:space="preserve"> </w:t>
      </w:r>
      <w:r w:rsidR="00D240B6" w:rsidRPr="001D4E47">
        <w:t xml:space="preserve">vaan hallitsevan puolueen äänitorvena ja syrjäyttää toimittajia, </w:t>
      </w:r>
      <w:r w:rsidR="00640E41">
        <w:t>jotka eivät ole linjassa sen omien arvojen</w:t>
      </w:r>
      <w:r w:rsidR="00D240B6" w:rsidRPr="001D4E47">
        <w:t xml:space="preserve"> kanssa.</w:t>
      </w:r>
      <w:r w:rsidR="00D240B6" w:rsidRPr="001D4E47">
        <w:rPr>
          <w:color w:val="FF0000"/>
        </w:rPr>
        <w:t xml:space="preserve"> </w:t>
      </w:r>
      <w:r w:rsidR="00407E1D" w:rsidRPr="001D4E47">
        <w:t>Georgia on pudonnut kahdessa vuodessa 37 sijaa RSF:n maailman lehdistönvapausindeksissä, sijoittuen nyt 114:nneksi 180 maan ja alueen joukossa.</w:t>
      </w:r>
      <w:r w:rsidR="00407E1D" w:rsidRPr="001D4E47">
        <w:rPr>
          <w:rStyle w:val="Alaviitteenviite"/>
        </w:rPr>
        <w:footnoteReference w:id="85"/>
      </w:r>
      <w:r w:rsidR="00FF2CF3" w:rsidRPr="001D4E47">
        <w:t xml:space="preserve"> Riippumattomat mediatalot joutuvat hallituksen ohjaamien mustamaalauskampanjoiden kohteiksi. Osa toimittajista kertoi, että julkisessa mediassa heitä käsketään esittämään hallitusmyönteisiä näkökulmia, ja niiden kyseenalaistaminen voi johtaa työn menettämiseen tai muihin seuraamuksiin.</w:t>
      </w:r>
      <w:r w:rsidR="00FF2CF3" w:rsidRPr="001D4E47">
        <w:rPr>
          <w:rStyle w:val="Alaviitteenviite"/>
        </w:rPr>
        <w:footnoteReference w:id="86"/>
      </w:r>
    </w:p>
    <w:p w14:paraId="37F024C1" w14:textId="2D6BD30F" w:rsidR="0079756E" w:rsidRPr="008A5AC6" w:rsidRDefault="00D240B6" w:rsidP="00640E41">
      <w:r w:rsidRPr="00521FC4">
        <w:t>Euroopan komission mukaan</w:t>
      </w:r>
      <w:r w:rsidR="00FF2CF3" w:rsidRPr="00521FC4">
        <w:t xml:space="preserve"> toimittajien turvallisuustilanne on heikentynyt merkittävästi</w:t>
      </w:r>
      <w:r w:rsidR="00521FC4">
        <w:t>. H</w:t>
      </w:r>
      <w:r w:rsidR="00FF2CF3" w:rsidRPr="00521FC4">
        <w:t xml:space="preserve">eihin kohdistuu yhä enemmän uhkailua, vihapuhetta, väkivaltaa, oikeudellista painostusta ja pidätyksiä, mikä estää heitä tekemästä työtään vapaasti. Poliisin ja erikoisjoukkojen </w:t>
      </w:r>
      <w:r w:rsidR="00640E41">
        <w:t xml:space="preserve">harjoittama </w:t>
      </w:r>
      <w:r w:rsidR="00FF2CF3" w:rsidRPr="00521FC4">
        <w:t>väkivalta</w:t>
      </w:r>
      <w:r w:rsidR="00640E41">
        <w:t xml:space="preserve"> </w:t>
      </w:r>
      <w:r w:rsidR="00FF2CF3" w:rsidRPr="00521FC4">
        <w:t>ei ole johtanut yhteenkään syytteeseen tai tuomioon. Monet toimittajat saivat suhteettoman suuria hallinnollisia sakkoja tai heidät pidätettiin mielivaltaisesti työtehtävissä.</w:t>
      </w:r>
      <w:r w:rsidR="00FF2CF3" w:rsidRPr="00521FC4">
        <w:rPr>
          <w:rStyle w:val="Alaviitteenviite"/>
        </w:rPr>
        <w:footnoteReference w:id="87"/>
      </w:r>
      <w:r w:rsidR="00FF2CF3" w:rsidRPr="00521FC4">
        <w:t xml:space="preserve"> Etyj:n raportin mukaan laajalle levinneet</w:t>
      </w:r>
      <w:r w:rsidR="00640E41">
        <w:t xml:space="preserve"> sekä poliisin että tunnistamattomien ryhmien tekemät</w:t>
      </w:r>
      <w:r w:rsidR="00FF2CF3" w:rsidRPr="00521FC4">
        <w:t xml:space="preserve"> fyysiset hyökkäykset toimittajia vastaan</w:t>
      </w:r>
      <w:r w:rsidR="00640E41">
        <w:t xml:space="preserve"> </w:t>
      </w:r>
      <w:r w:rsidR="00FF2CF3" w:rsidRPr="00521FC4">
        <w:t xml:space="preserve">ovat tehneet riippumattomasta journalismista erittäin vaarallista. Toimittajia vastaan on hyökätty nimenomaan </w:t>
      </w:r>
      <w:r w:rsidR="00640E41">
        <w:t>heidän ammattinsa vuoksi</w:t>
      </w:r>
      <w:r w:rsidR="00FF2CF3" w:rsidRPr="00521FC4">
        <w:t xml:space="preserve">. Toimittajia pidätetään usein </w:t>
      </w:r>
      <w:r w:rsidR="00521FC4">
        <w:t xml:space="preserve">heidän seuratessa </w:t>
      </w:r>
      <w:r w:rsidR="00FF2CF3" w:rsidRPr="00521FC4">
        <w:t>mielenosoituksia</w:t>
      </w:r>
      <w:r w:rsidR="00521FC4">
        <w:t xml:space="preserve"> </w:t>
      </w:r>
      <w:r w:rsidR="00FF2CF3" w:rsidRPr="00521FC4">
        <w:t>ja heihin kohdistetaan samoja hallinnollisia ja rikosoikeudellisia seuraamuksia kuin mielenosoittajiin.</w:t>
      </w:r>
      <w:r w:rsidRPr="00521FC4">
        <w:rPr>
          <w:rStyle w:val="Alaviitteenviite"/>
        </w:rPr>
        <w:footnoteReference w:id="88"/>
      </w:r>
      <w:r w:rsidR="00FF2CF3" w:rsidRPr="00521FC4">
        <w:t xml:space="preserve"> RSF:n mukaan l</w:t>
      </w:r>
      <w:r w:rsidR="00407E1D" w:rsidRPr="00521FC4">
        <w:t>okakuun 2024 ja lokakuun 2025 välisenä aikana dokumentoitiin 600 hyökkäystä media</w:t>
      </w:r>
      <w:r w:rsidR="00FF2CF3" w:rsidRPr="00521FC4">
        <w:t>a</w:t>
      </w:r>
      <w:r w:rsidR="00407E1D" w:rsidRPr="00521FC4">
        <w:t xml:space="preserve"> vastaan, mukaan lukien pahoinpitelyjä, mielivaltaisia sakkoja, pidätyksiä, uhkauksia</w:t>
      </w:r>
      <w:r w:rsidR="00FF2CF3" w:rsidRPr="00521FC4">
        <w:t xml:space="preserve"> ja</w:t>
      </w:r>
      <w:r w:rsidR="00407E1D" w:rsidRPr="00521FC4">
        <w:t xml:space="preserve"> akkreditointien keskeyttämisiä.</w:t>
      </w:r>
      <w:r w:rsidR="00FF2CF3" w:rsidRPr="00521FC4">
        <w:t xml:space="preserve"> </w:t>
      </w:r>
      <w:r w:rsidR="00407E1D" w:rsidRPr="00521FC4">
        <w:t>Viranomaiset rinnastavat toimittajat yhä useammin mielenosoittajiin ja käyttävät julkisen järjestyksen ylläpitämiseen tarkoitettuja lakeja estääkseen mielenosoitusten uutisointia.</w:t>
      </w:r>
      <w:r w:rsidR="00FF2CF3" w:rsidRPr="00521FC4">
        <w:t xml:space="preserve"> </w:t>
      </w:r>
      <w:r w:rsidR="00640E41">
        <w:t>Mielenosoituskulku</w:t>
      </w:r>
      <w:r w:rsidR="004316F2">
        <w:t>eita</w:t>
      </w:r>
      <w:r w:rsidR="00640E41">
        <w:t xml:space="preserve"> seuranneille toimittajille on järjestelmällisesti määrätty sakkoja ”tien tukkimisesta”.</w:t>
      </w:r>
      <w:r w:rsidR="00407E1D" w:rsidRPr="00521FC4">
        <w:t xml:space="preserve"> Useissa tapauksissa poliisi on vedonnut tiukennettuihin poliisin toiminnan häiritsemistä koskeviin säännöksiin pakottaakseen toimittajat pois mielenosoitusalueilta.</w:t>
      </w:r>
      <w:r w:rsidR="00407E1D" w:rsidRPr="00521FC4">
        <w:rPr>
          <w:rStyle w:val="Alaviitteenviite"/>
        </w:rPr>
        <w:footnoteReference w:id="89"/>
      </w:r>
    </w:p>
    <w:p w14:paraId="51B9B488" w14:textId="77777777" w:rsidR="00082DFE" w:rsidRPr="00D93B0F" w:rsidRDefault="00082DFE" w:rsidP="00543F66">
      <w:pPr>
        <w:pStyle w:val="Otsikko2"/>
        <w:numPr>
          <w:ilvl w:val="0"/>
          <w:numId w:val="0"/>
        </w:numPr>
        <w:rPr>
          <w:lang w:val="en-US"/>
        </w:rPr>
      </w:pPr>
      <w:r w:rsidRPr="00D93B0F">
        <w:rPr>
          <w:lang w:val="en-US"/>
        </w:rPr>
        <w:t>Lähteet</w:t>
      </w:r>
    </w:p>
    <w:p w14:paraId="7A672218" w14:textId="2C8B095B" w:rsidR="007A5C7C" w:rsidRPr="009F6E04" w:rsidRDefault="007A5C7C" w:rsidP="009F6E04">
      <w:pPr>
        <w:jc w:val="left"/>
      </w:pPr>
      <w:r>
        <w:rPr>
          <w:lang w:val="en-US"/>
        </w:rPr>
        <w:t xml:space="preserve">Amnesty International 3.10.2025. </w:t>
      </w:r>
      <w:r w:rsidRPr="009F6E04">
        <w:rPr>
          <w:i/>
          <w:iCs/>
          <w:lang w:val="en-US"/>
        </w:rPr>
        <w:t>Georgia: Elections marred by severe reprisals and risk of further violence.</w:t>
      </w:r>
      <w:r>
        <w:rPr>
          <w:lang w:val="en-US"/>
        </w:rPr>
        <w:t xml:space="preserve"> </w:t>
      </w:r>
      <w:hyperlink r:id="rId8" w:history="1">
        <w:r w:rsidRPr="009F6E04">
          <w:rPr>
            <w:rStyle w:val="Hyperlinkki"/>
          </w:rPr>
          <w:t>https://www.amnesty.org/en/latest/news/2025/10/georgia-elections-marred-by-severe-reprisals-and-risk-of-further-violence/</w:t>
        </w:r>
      </w:hyperlink>
      <w:r w:rsidRPr="009F6E04">
        <w:t xml:space="preserve"> </w:t>
      </w:r>
      <w:r w:rsidR="009F6E04" w:rsidRPr="009F6E04">
        <w:t>(kä</w:t>
      </w:r>
      <w:r w:rsidR="009F6E04">
        <w:t>yty 26.2.2026).</w:t>
      </w:r>
    </w:p>
    <w:p w14:paraId="7708C583" w14:textId="4F402B0A" w:rsidR="009F6E04" w:rsidRPr="009F6E04" w:rsidRDefault="009F6E04" w:rsidP="009F6E04">
      <w:pPr>
        <w:jc w:val="left"/>
      </w:pPr>
      <w:r w:rsidRPr="009F6E04">
        <w:rPr>
          <w:lang w:val="en-US"/>
        </w:rPr>
        <w:t xml:space="preserve">Balkan Insight 28.1.2026. </w:t>
      </w:r>
      <w:r w:rsidRPr="009F6E04">
        <w:rPr>
          <w:i/>
          <w:iCs/>
          <w:lang w:val="en-US"/>
        </w:rPr>
        <w:t>From Georgia to Serbia, Surveillance is Being Weaponised Against Dissent</w:t>
      </w:r>
      <w:r>
        <w:rPr>
          <w:lang w:val="en-US"/>
        </w:rPr>
        <w:t xml:space="preserve">. </w:t>
      </w:r>
      <w:hyperlink r:id="rId9" w:history="1">
        <w:r w:rsidRPr="009F6E04">
          <w:rPr>
            <w:rStyle w:val="Hyperlinkki"/>
          </w:rPr>
          <w:t>https://balkaninsight.com/2026/01/28/from-georgia-to-serbia-surveillance-is-being-weaponised-against-dissent/bi/</w:t>
        </w:r>
      </w:hyperlink>
      <w:r w:rsidRPr="009F6E04">
        <w:t xml:space="preserve"> (kä</w:t>
      </w:r>
      <w:r>
        <w:t>yty 6.3.2026).</w:t>
      </w:r>
    </w:p>
    <w:p w14:paraId="5C4FB739" w14:textId="145FEE49" w:rsidR="00873A37" w:rsidRDefault="00521FC4" w:rsidP="009F6E04">
      <w:pPr>
        <w:jc w:val="left"/>
        <w:rPr>
          <w:lang w:val="en-US"/>
        </w:rPr>
      </w:pPr>
      <w:r w:rsidRPr="00521FC4">
        <w:rPr>
          <w:lang w:val="en-US"/>
        </w:rPr>
        <w:t>Britannica 19.2.2026</w:t>
      </w:r>
      <w:r>
        <w:rPr>
          <w:lang w:val="en-US"/>
        </w:rPr>
        <w:t xml:space="preserve">. </w:t>
      </w:r>
      <w:r w:rsidRPr="009F6E04">
        <w:rPr>
          <w:i/>
          <w:iCs/>
          <w:lang w:val="en-US"/>
        </w:rPr>
        <w:t>Georgia</w:t>
      </w:r>
      <w:r>
        <w:rPr>
          <w:lang w:val="en-US"/>
        </w:rPr>
        <w:t xml:space="preserve">. </w:t>
      </w:r>
      <w:hyperlink r:id="rId10" w:history="1">
        <w:r w:rsidRPr="00FE17CC">
          <w:rPr>
            <w:rStyle w:val="Hyperlinkki"/>
            <w:lang w:val="en-US"/>
          </w:rPr>
          <w:t>https://www.britannica.com/place/Georgia</w:t>
        </w:r>
      </w:hyperlink>
      <w:r>
        <w:rPr>
          <w:lang w:val="en-US"/>
        </w:rPr>
        <w:t xml:space="preserve"> </w:t>
      </w:r>
      <w:r w:rsidR="009F6E04" w:rsidRPr="00D03766">
        <w:rPr>
          <w:lang w:val="en-US"/>
        </w:rPr>
        <w:t>(käyty 26.2.2026).</w:t>
      </w:r>
    </w:p>
    <w:p w14:paraId="47A0D1C3" w14:textId="2BB67B75" w:rsidR="007A5C7C" w:rsidRPr="009F6E04" w:rsidRDefault="007A5C7C" w:rsidP="009F6E04">
      <w:pPr>
        <w:pStyle w:val="Alaviitteenteksti"/>
        <w:jc w:val="left"/>
      </w:pPr>
      <w:r w:rsidRPr="007A5C7C">
        <w:rPr>
          <w:lang w:val="en-US"/>
        </w:rPr>
        <w:t>Global Initiative Against Transnational Organized Crime</w:t>
      </w:r>
      <w:r>
        <w:rPr>
          <w:lang w:val="en-US"/>
        </w:rPr>
        <w:t xml:space="preserve"> 8/2025. </w:t>
      </w:r>
      <w:r w:rsidRPr="009F6E04">
        <w:rPr>
          <w:i/>
          <w:iCs/>
          <w:lang w:val="en-US"/>
        </w:rPr>
        <w:t>SHADOW STATES HIGH-LEVEL CORRUPTION AND STATE CAPTURE IN THE SOUTH CAUCASUS.</w:t>
      </w:r>
      <w:r>
        <w:rPr>
          <w:lang w:val="en-US"/>
        </w:rPr>
        <w:t xml:space="preserve"> </w:t>
      </w:r>
      <w:hyperlink r:id="rId11" w:history="1">
        <w:r w:rsidRPr="009F6E04">
          <w:rPr>
            <w:rStyle w:val="Hyperlinkki"/>
          </w:rPr>
          <w:t>https://globalinitiative.net/wp-content/uploads/2025/08/Liam-OShea-Shadow-states-High-level-corruption-and-state-capture-in-the-South-Caucasus-GI-TOC-August-2025.pdf</w:t>
        </w:r>
      </w:hyperlink>
      <w:r w:rsidRPr="009F6E04">
        <w:t xml:space="preserve"> </w:t>
      </w:r>
      <w:r w:rsidR="009F6E04" w:rsidRPr="009F6E04">
        <w:t>(kä</w:t>
      </w:r>
      <w:r w:rsidR="009F6E04">
        <w:t>yty 6.3.2026).</w:t>
      </w:r>
    </w:p>
    <w:p w14:paraId="239061F9" w14:textId="77777777" w:rsidR="00D45758" w:rsidRPr="009F6E04" w:rsidRDefault="00D45758" w:rsidP="009F6E04">
      <w:pPr>
        <w:pStyle w:val="Alaviitteenteksti"/>
        <w:jc w:val="left"/>
      </w:pPr>
    </w:p>
    <w:p w14:paraId="6653667B" w14:textId="32992689" w:rsidR="00D45758" w:rsidRPr="00DD2ADE" w:rsidRDefault="00D45758" w:rsidP="009F6E04">
      <w:pPr>
        <w:pStyle w:val="Alaviitteenteksti"/>
        <w:jc w:val="left"/>
      </w:pPr>
      <w:r w:rsidRPr="00D45758">
        <w:rPr>
          <w:lang w:val="en-US"/>
        </w:rPr>
        <w:lastRenderedPageBreak/>
        <w:t xml:space="preserve">GYLA </w:t>
      </w:r>
      <w:r w:rsidR="000B22E2">
        <w:rPr>
          <w:lang w:val="en-US"/>
        </w:rPr>
        <w:t>(</w:t>
      </w:r>
      <w:r w:rsidR="000B22E2" w:rsidRPr="000B22E2">
        <w:rPr>
          <w:lang w:val="en-US"/>
        </w:rPr>
        <w:t>Georgian Young Lawyers' Association</w:t>
      </w:r>
      <w:r w:rsidR="000B22E2">
        <w:rPr>
          <w:lang w:val="en-US"/>
        </w:rPr>
        <w:t xml:space="preserve">) </w:t>
      </w:r>
      <w:r w:rsidRPr="00D45758">
        <w:rPr>
          <w:lang w:val="en-US"/>
        </w:rPr>
        <w:t xml:space="preserve">10.12.2025. </w:t>
      </w:r>
      <w:r w:rsidRPr="009F6E04">
        <w:rPr>
          <w:i/>
          <w:iCs/>
          <w:lang w:val="en-US"/>
        </w:rPr>
        <w:t>HUMAN RIGHTS SITUATION IN GEORGIA IN 2025 ASSESSMENT BY THE GEORGIAN YOUNG LAWYERS’ ASSOCIATION.</w:t>
      </w:r>
      <w:r>
        <w:rPr>
          <w:lang w:val="en-US"/>
        </w:rPr>
        <w:t xml:space="preserve"> </w:t>
      </w:r>
      <w:hyperlink r:id="rId12" w:history="1">
        <w:r w:rsidRPr="009F6E04">
          <w:rPr>
            <w:rStyle w:val="Hyperlinkki"/>
          </w:rPr>
          <w:t>https://admin.gyla.ge/uploads_script/publications/pdf/HUMAN%20RIGHTS%20SITUATION%20IN%20GEORGIA%202025.pdf</w:t>
        </w:r>
      </w:hyperlink>
      <w:r w:rsidRPr="009F6E04">
        <w:t xml:space="preserve"> </w:t>
      </w:r>
      <w:r w:rsidR="009F6E04" w:rsidRPr="009F6E04">
        <w:t>(kä</w:t>
      </w:r>
      <w:r w:rsidR="009F6E04">
        <w:t>yty 11.3.2026).</w:t>
      </w:r>
    </w:p>
    <w:p w14:paraId="6D7018DE" w14:textId="26B66BDC" w:rsidR="009F6E04" w:rsidRPr="000B22E2" w:rsidRDefault="009F6E04" w:rsidP="009F6E04">
      <w:pPr>
        <w:jc w:val="left"/>
      </w:pPr>
      <w:r w:rsidRPr="000B22E2">
        <w:t xml:space="preserve">Etyj </w:t>
      </w:r>
      <w:r w:rsidR="000B22E2" w:rsidRPr="000B22E2">
        <w:t>(Euroopan turvallisuus- ja yhteistyöjärjestö</w:t>
      </w:r>
      <w:r w:rsidR="000B22E2">
        <w:t xml:space="preserve">) </w:t>
      </w:r>
      <w:r w:rsidRPr="000B22E2">
        <w:t xml:space="preserve">24.2.2026. </w:t>
      </w:r>
      <w:r w:rsidRPr="009F6E04">
        <w:rPr>
          <w:i/>
          <w:iCs/>
          <w:lang w:val="en-US"/>
        </w:rPr>
        <w:t>OSCE fact-finding mission on Georgia (2026) under paragraph 12 of the Moscow Mechanism Document Report on Developments in Georgia in Respect of Human Rights and Fundamental Freedoms since Spring 2024.</w:t>
      </w:r>
      <w:r>
        <w:rPr>
          <w:lang w:val="en-US"/>
        </w:rPr>
        <w:t xml:space="preserve"> </w:t>
      </w:r>
      <w:hyperlink r:id="rId13" w:history="1">
        <w:r w:rsidRPr="009F6E04">
          <w:rPr>
            <w:rStyle w:val="Hyperlinkki"/>
          </w:rPr>
          <w:t>https://odihr.osce.org/sites/default/files/documents/official_documents/2026/03/odgal0009c1%20ODIHR%20NV%2082-2026%20report_Moscow%20Mechanism%20invoked%20in%20respect%20of%20Georgia_0.pdf</w:t>
        </w:r>
      </w:hyperlink>
      <w:r w:rsidRPr="009F6E04">
        <w:t xml:space="preserve"> (kä</w:t>
      </w:r>
      <w:r>
        <w:t>yty 13.3.2026).</w:t>
      </w:r>
    </w:p>
    <w:p w14:paraId="07EDC4BA" w14:textId="0F8B48AF" w:rsidR="007A5C7C" w:rsidRPr="007A5C7C" w:rsidRDefault="007A5C7C" w:rsidP="009F6E04">
      <w:pPr>
        <w:jc w:val="left"/>
      </w:pPr>
      <w:r w:rsidRPr="00D03766">
        <w:t xml:space="preserve">Euroopan komissio 4.11.2025. </w:t>
      </w:r>
      <w:r w:rsidRPr="009F6E04">
        <w:rPr>
          <w:i/>
          <w:iCs/>
        </w:rPr>
        <w:t>Georgia 2025 Report.</w:t>
      </w:r>
      <w:r>
        <w:t xml:space="preserve"> </w:t>
      </w:r>
      <w:hyperlink r:id="rId14" w:history="1">
        <w:r w:rsidRPr="00FE17CC">
          <w:rPr>
            <w:rStyle w:val="Hyperlinkki"/>
          </w:rPr>
          <w:t>https://www.ecoi.net/en/file/local/2132163/georgia-report-2025.pdf</w:t>
        </w:r>
      </w:hyperlink>
      <w:r>
        <w:t xml:space="preserve"> </w:t>
      </w:r>
      <w:r w:rsidR="009F6E04" w:rsidRPr="009F6E04">
        <w:t>(kä</w:t>
      </w:r>
      <w:r w:rsidR="009F6E04">
        <w:t>yty 6.3.2026).</w:t>
      </w:r>
    </w:p>
    <w:p w14:paraId="363E3069" w14:textId="6743FE90" w:rsidR="00521FC4" w:rsidRDefault="007A5C7C" w:rsidP="009F6E04">
      <w:pPr>
        <w:jc w:val="left"/>
        <w:rPr>
          <w:lang w:val="en-US"/>
        </w:rPr>
      </w:pPr>
      <w:r>
        <w:rPr>
          <w:lang w:val="en-US"/>
        </w:rPr>
        <w:t>Freedom House 2025</w:t>
      </w:r>
      <w:r w:rsidRPr="009F6E04">
        <w:rPr>
          <w:i/>
          <w:iCs/>
          <w:lang w:val="en-US"/>
        </w:rPr>
        <w:t>. Freedom in the World 2025 – Georgia.</w:t>
      </w:r>
      <w:r>
        <w:rPr>
          <w:lang w:val="en-US"/>
        </w:rPr>
        <w:t xml:space="preserve"> </w:t>
      </w:r>
      <w:hyperlink r:id="rId15" w:history="1">
        <w:r w:rsidRPr="00FE17CC">
          <w:rPr>
            <w:rStyle w:val="Hyperlinkki"/>
            <w:lang w:val="en-US"/>
          </w:rPr>
          <w:t>https://freedomhouse.org/country/georgia/freedom-world/2025</w:t>
        </w:r>
      </w:hyperlink>
      <w:r>
        <w:rPr>
          <w:lang w:val="en-US"/>
        </w:rPr>
        <w:t xml:space="preserve"> </w:t>
      </w:r>
      <w:r w:rsidR="009F6E04" w:rsidRPr="00D03766">
        <w:rPr>
          <w:lang w:val="en-US"/>
        </w:rPr>
        <w:t>(käyty 6.3.2026).</w:t>
      </w:r>
    </w:p>
    <w:p w14:paraId="3C8C8006" w14:textId="572B0B9B" w:rsidR="00D45758" w:rsidRPr="00D45758" w:rsidRDefault="00D45758" w:rsidP="009F6E04">
      <w:pPr>
        <w:jc w:val="left"/>
        <w:rPr>
          <w:lang w:val="en-US"/>
        </w:rPr>
      </w:pPr>
      <w:r w:rsidRPr="00D45758">
        <w:rPr>
          <w:lang w:val="en-US"/>
        </w:rPr>
        <w:t>H</w:t>
      </w:r>
      <w:r>
        <w:rPr>
          <w:lang w:val="en-US"/>
        </w:rPr>
        <w:t xml:space="preserve">RC </w:t>
      </w:r>
      <w:r w:rsidR="000B22E2">
        <w:rPr>
          <w:lang w:val="en-US"/>
        </w:rPr>
        <w:t xml:space="preserve">(Human Rights Center) </w:t>
      </w:r>
      <w:r>
        <w:rPr>
          <w:lang w:val="en-US"/>
        </w:rPr>
        <w:t xml:space="preserve">2025. </w:t>
      </w:r>
      <w:r w:rsidRPr="009F6E04">
        <w:rPr>
          <w:i/>
          <w:iCs/>
          <w:lang w:val="en-US"/>
        </w:rPr>
        <w:t xml:space="preserve">ANNUAL REPORT ANNUAL REPORT STATE OF HUMAN RIGHTS IN GEORGIA. </w:t>
      </w:r>
      <w:hyperlink r:id="rId16" w:history="1">
        <w:r w:rsidRPr="00FE17CC">
          <w:rPr>
            <w:rStyle w:val="Hyperlinkki"/>
            <w:lang w:val="en-US"/>
          </w:rPr>
          <w:t>https://www.hrc.ge/files/380anual2024eng.pdf</w:t>
        </w:r>
      </w:hyperlink>
      <w:r>
        <w:rPr>
          <w:lang w:val="en-US"/>
        </w:rPr>
        <w:t xml:space="preserve"> </w:t>
      </w:r>
      <w:r w:rsidR="009F6E04" w:rsidRPr="00D03766">
        <w:rPr>
          <w:lang w:val="en-US"/>
        </w:rPr>
        <w:t>(käyty 11.3.2026).</w:t>
      </w:r>
    </w:p>
    <w:p w14:paraId="5E74D5B3" w14:textId="669E22F5" w:rsidR="000263D7" w:rsidRPr="009F6E04" w:rsidRDefault="000263D7" w:rsidP="009F6E04">
      <w:pPr>
        <w:jc w:val="left"/>
      </w:pPr>
      <w:r w:rsidRPr="000263D7">
        <w:rPr>
          <w:lang w:val="en-US"/>
        </w:rPr>
        <w:t>H</w:t>
      </w:r>
      <w:r>
        <w:rPr>
          <w:lang w:val="en-US"/>
        </w:rPr>
        <w:t xml:space="preserve">RRC </w:t>
      </w:r>
      <w:r w:rsidR="000B22E2">
        <w:rPr>
          <w:lang w:val="en-US"/>
        </w:rPr>
        <w:t>(</w:t>
      </w:r>
      <w:r w:rsidR="000B22E2" w:rsidRPr="000B22E2">
        <w:rPr>
          <w:lang w:val="en-US"/>
        </w:rPr>
        <w:t>Human Rights Research Center</w:t>
      </w:r>
      <w:r w:rsidR="000B22E2">
        <w:rPr>
          <w:lang w:val="en-US"/>
        </w:rPr>
        <w:t xml:space="preserve">) </w:t>
      </w:r>
      <w:r>
        <w:rPr>
          <w:lang w:val="en-US"/>
        </w:rPr>
        <w:t xml:space="preserve">4.6.2025. </w:t>
      </w:r>
      <w:r w:rsidRPr="009F6E04">
        <w:rPr>
          <w:i/>
          <w:iCs/>
          <w:lang w:val="en-US"/>
        </w:rPr>
        <w:t>Beyond the Barricades: Human Rights, Protest, and the Rule of Law in Georgia</w:t>
      </w:r>
      <w:r>
        <w:rPr>
          <w:lang w:val="en-US"/>
        </w:rPr>
        <w:t xml:space="preserve">. </w:t>
      </w:r>
      <w:hyperlink r:id="rId17" w:history="1">
        <w:r w:rsidRPr="009F6E04">
          <w:rPr>
            <w:rStyle w:val="Hyperlinkki"/>
          </w:rPr>
          <w:t>https://www.humanrightsresearch.org/post/beyond-the-barricades-human-rights-protest-and-the-rule-of-law-in-georgia</w:t>
        </w:r>
      </w:hyperlink>
      <w:r w:rsidRPr="009F6E04">
        <w:t xml:space="preserve"> </w:t>
      </w:r>
      <w:r w:rsidR="009F6E04" w:rsidRPr="009F6E04">
        <w:t>(kä</w:t>
      </w:r>
      <w:r w:rsidR="009F6E04">
        <w:t>yty 6.3.2026).</w:t>
      </w:r>
    </w:p>
    <w:p w14:paraId="584CEEBB" w14:textId="7A2CF6B5" w:rsidR="000263D7" w:rsidRDefault="000263D7" w:rsidP="009F6E04">
      <w:pPr>
        <w:jc w:val="left"/>
        <w:rPr>
          <w:lang w:val="en-US"/>
        </w:rPr>
      </w:pPr>
      <w:r w:rsidRPr="000263D7">
        <w:rPr>
          <w:lang w:val="en-US"/>
        </w:rPr>
        <w:t xml:space="preserve">HRW </w:t>
      </w:r>
      <w:r w:rsidR="000B22E2">
        <w:rPr>
          <w:lang w:val="en-US"/>
        </w:rPr>
        <w:t>(Human Rights Watch)</w:t>
      </w:r>
    </w:p>
    <w:p w14:paraId="409E4C09" w14:textId="1388760E" w:rsidR="000263D7" w:rsidRPr="00DD2ADE" w:rsidRDefault="000263D7" w:rsidP="009F6E04">
      <w:pPr>
        <w:ind w:left="720"/>
        <w:jc w:val="left"/>
      </w:pPr>
      <w:r>
        <w:rPr>
          <w:lang w:val="en-US"/>
        </w:rPr>
        <w:t xml:space="preserve">2026. </w:t>
      </w:r>
      <w:r w:rsidRPr="009F6E04">
        <w:rPr>
          <w:i/>
          <w:iCs/>
          <w:lang w:val="en-US"/>
        </w:rPr>
        <w:t>Georgia Events of 2025</w:t>
      </w:r>
      <w:r>
        <w:rPr>
          <w:lang w:val="en-US"/>
        </w:rPr>
        <w:t xml:space="preserve">. </w:t>
      </w:r>
      <w:hyperlink r:id="rId18" w:history="1">
        <w:r w:rsidR="009F6E04" w:rsidRPr="00DD2ADE">
          <w:rPr>
            <w:rStyle w:val="Hyperlinkki"/>
          </w:rPr>
          <w:t>https://www.hrw.org/world-report/2026/country-chapters/georgia</w:t>
        </w:r>
      </w:hyperlink>
      <w:r w:rsidRPr="00DD2ADE">
        <w:t xml:space="preserve"> </w:t>
      </w:r>
      <w:r w:rsidR="009F6E04" w:rsidRPr="00DD2ADE">
        <w:t>(käyty 11.3.2026).</w:t>
      </w:r>
    </w:p>
    <w:p w14:paraId="3F7A3CD9" w14:textId="12B90547" w:rsidR="000263D7" w:rsidRPr="009F6E04" w:rsidRDefault="000263D7" w:rsidP="009F6E04">
      <w:pPr>
        <w:ind w:left="720"/>
        <w:jc w:val="left"/>
      </w:pPr>
      <w:r w:rsidRPr="000263D7">
        <w:rPr>
          <w:lang w:val="en-US"/>
        </w:rPr>
        <w:t>9.2.2026</w:t>
      </w:r>
      <w:r>
        <w:rPr>
          <w:lang w:val="en-US"/>
        </w:rPr>
        <w:t xml:space="preserve">. </w:t>
      </w:r>
      <w:r w:rsidRPr="009F6E04">
        <w:rPr>
          <w:i/>
          <w:iCs/>
          <w:lang w:val="en-US"/>
        </w:rPr>
        <w:t>Georgia Initiates Laws Severely Curtailing Civil and Political Rights.</w:t>
      </w:r>
      <w:r>
        <w:rPr>
          <w:lang w:val="en-US"/>
        </w:rPr>
        <w:t xml:space="preserve"> </w:t>
      </w:r>
      <w:hyperlink r:id="rId19" w:history="1">
        <w:r w:rsidR="009F6E04" w:rsidRPr="00FE17CC">
          <w:rPr>
            <w:rStyle w:val="Hyperlinkki"/>
          </w:rPr>
          <w:t>https://www.hrw.org/news/2026/02/09/georgia-initiates-laws-severely-curtailing-civil-and-political-rights</w:t>
        </w:r>
      </w:hyperlink>
      <w:r w:rsidRPr="009F6E04">
        <w:t xml:space="preserve"> </w:t>
      </w:r>
      <w:r w:rsidR="009F6E04" w:rsidRPr="009F6E04">
        <w:t>(kä</w:t>
      </w:r>
      <w:r w:rsidR="009F6E04">
        <w:t>yty 11.3.2026).</w:t>
      </w:r>
    </w:p>
    <w:p w14:paraId="08098BCC" w14:textId="490660D1" w:rsidR="009F6E04" w:rsidRPr="009F6E04" w:rsidRDefault="009F6E04" w:rsidP="009F6E04">
      <w:pPr>
        <w:ind w:left="720"/>
        <w:jc w:val="left"/>
      </w:pPr>
      <w:r>
        <w:rPr>
          <w:lang w:val="en-US"/>
        </w:rPr>
        <w:t xml:space="preserve">23.1.2026. </w:t>
      </w:r>
      <w:r w:rsidRPr="009F6E04">
        <w:rPr>
          <w:i/>
          <w:iCs/>
          <w:lang w:val="en-US"/>
        </w:rPr>
        <w:t>Georgia: Police Arbitrarily Detain Peaceful Protesters.</w:t>
      </w:r>
      <w:r>
        <w:rPr>
          <w:lang w:val="en-US"/>
        </w:rPr>
        <w:t xml:space="preserve"> </w:t>
      </w:r>
      <w:hyperlink r:id="rId20" w:history="1">
        <w:r w:rsidRPr="00FE17CC">
          <w:rPr>
            <w:rStyle w:val="Hyperlinkki"/>
          </w:rPr>
          <w:t>https://www.hrw.org/news/2026/01/23/georgia-police-arbitrarily-detain-peaceful-protesters</w:t>
        </w:r>
      </w:hyperlink>
      <w:r w:rsidRPr="009F6E04">
        <w:t xml:space="preserve"> (kä</w:t>
      </w:r>
      <w:r>
        <w:t>yty 11.3.2026).</w:t>
      </w:r>
    </w:p>
    <w:p w14:paraId="5CB823F7" w14:textId="6C4900D7" w:rsidR="000263D7" w:rsidRPr="009F6E04" w:rsidRDefault="000263D7" w:rsidP="009F6E04">
      <w:pPr>
        <w:ind w:left="720"/>
        <w:jc w:val="left"/>
      </w:pPr>
      <w:r w:rsidRPr="000263D7">
        <w:rPr>
          <w:lang w:val="en-US"/>
        </w:rPr>
        <w:t>4.12.2025</w:t>
      </w:r>
      <w:r w:rsidRPr="009F6E04">
        <w:rPr>
          <w:i/>
          <w:iCs/>
          <w:lang w:val="en-US"/>
        </w:rPr>
        <w:t>. Georgia: Repressive Laws Effectively Criminalize Peaceful Protests.</w:t>
      </w:r>
      <w:r>
        <w:rPr>
          <w:lang w:val="en-US"/>
        </w:rPr>
        <w:t xml:space="preserve"> </w:t>
      </w:r>
      <w:hyperlink r:id="rId21" w:history="1">
        <w:r w:rsidR="009F6E04" w:rsidRPr="00FE17CC">
          <w:rPr>
            <w:rStyle w:val="Hyperlinkki"/>
          </w:rPr>
          <w:t>https://www.hrw.org/news/2025/12/04/georgia-repressive-laws-effectively-criminalize-peaceful-protests</w:t>
        </w:r>
      </w:hyperlink>
      <w:r w:rsidRPr="009F6E04">
        <w:t xml:space="preserve"> </w:t>
      </w:r>
      <w:r w:rsidR="009F6E04" w:rsidRPr="009F6E04">
        <w:t>(kä</w:t>
      </w:r>
      <w:r w:rsidR="009F6E04">
        <w:t>yty 6.3.2026).</w:t>
      </w:r>
    </w:p>
    <w:p w14:paraId="12B54804" w14:textId="5960440C" w:rsidR="009F6E04" w:rsidRPr="009F6E04" w:rsidRDefault="009F6E04" w:rsidP="009F6E04">
      <w:pPr>
        <w:jc w:val="left"/>
      </w:pPr>
      <w:r w:rsidRPr="009F6E04">
        <w:rPr>
          <w:lang w:val="en-US"/>
        </w:rPr>
        <w:t>International Bar Association 3.2.2026.</w:t>
      </w:r>
      <w:r>
        <w:rPr>
          <w:lang w:val="en-US"/>
        </w:rPr>
        <w:t xml:space="preserve"> </w:t>
      </w:r>
      <w:r w:rsidRPr="00B82F71">
        <w:rPr>
          <w:i/>
          <w:iCs/>
          <w:lang w:val="en-US"/>
        </w:rPr>
        <w:t>Freedom of assembly: Georgia’s crackdown on dissent continues at home and abroad</w:t>
      </w:r>
      <w:r>
        <w:rPr>
          <w:lang w:val="en-US"/>
        </w:rPr>
        <w:t xml:space="preserve">. </w:t>
      </w:r>
      <w:hyperlink r:id="rId22" w:history="1">
        <w:r w:rsidRPr="009F6E04">
          <w:rPr>
            <w:rStyle w:val="Hyperlinkki"/>
          </w:rPr>
          <w:t>https://www.ibanet.org/Georgia-crackdown-on-dissent-continues-at-home-and-abroad</w:t>
        </w:r>
      </w:hyperlink>
      <w:r w:rsidRPr="009F6E04">
        <w:t xml:space="preserve"> (kä</w:t>
      </w:r>
      <w:r>
        <w:t>yty 6.3.2026).</w:t>
      </w:r>
    </w:p>
    <w:p w14:paraId="418CC087" w14:textId="2141C22B" w:rsidR="007A5C7C" w:rsidRPr="00DD2ADE" w:rsidRDefault="007A5C7C" w:rsidP="009F6E04">
      <w:pPr>
        <w:jc w:val="left"/>
      </w:pPr>
      <w:r>
        <w:rPr>
          <w:lang w:val="en-US"/>
        </w:rPr>
        <w:t xml:space="preserve">International IDEA </w:t>
      </w:r>
      <w:r w:rsidR="000B22E2">
        <w:rPr>
          <w:lang w:val="en-US"/>
        </w:rPr>
        <w:t>(</w:t>
      </w:r>
      <w:r w:rsidR="000B22E2" w:rsidRPr="000B22E2">
        <w:rPr>
          <w:lang w:val="en-US"/>
        </w:rPr>
        <w:t>International Institute for Democracy and Electoral Assistance</w:t>
      </w:r>
      <w:r w:rsidR="000B22E2">
        <w:rPr>
          <w:lang w:val="en-US"/>
        </w:rPr>
        <w:t xml:space="preserve">) </w:t>
      </w:r>
      <w:r>
        <w:rPr>
          <w:lang w:val="en-US"/>
        </w:rPr>
        <w:t xml:space="preserve">5/2025. </w:t>
      </w:r>
      <w:r w:rsidRPr="00DD2ADE">
        <w:rPr>
          <w:i/>
          <w:iCs/>
        </w:rPr>
        <w:t>Georgia.</w:t>
      </w:r>
      <w:r w:rsidR="00B82F71" w:rsidRPr="00DD2ADE">
        <w:t xml:space="preserve"> </w:t>
      </w:r>
      <w:hyperlink r:id="rId23" w:history="1">
        <w:r w:rsidR="00B82F71" w:rsidRPr="00DD2ADE">
          <w:rPr>
            <w:rStyle w:val="Hyperlinkki"/>
          </w:rPr>
          <w:t>https://www.idea.int/democracytracker/country/georgia</w:t>
        </w:r>
      </w:hyperlink>
      <w:r w:rsidRPr="00DD2ADE">
        <w:t xml:space="preserve"> </w:t>
      </w:r>
      <w:r w:rsidR="009F6E04" w:rsidRPr="00DD2ADE">
        <w:t>(käyty 6.3.2026).</w:t>
      </w:r>
    </w:p>
    <w:p w14:paraId="6D3C70F7" w14:textId="77777777" w:rsidR="00B82F71" w:rsidRDefault="007A5C7C" w:rsidP="009F6E04">
      <w:pPr>
        <w:jc w:val="left"/>
      </w:pPr>
      <w:r w:rsidRPr="007A5C7C">
        <w:t xml:space="preserve">Maahanmuuttovirasto / Maatietopalvelu </w:t>
      </w:r>
    </w:p>
    <w:p w14:paraId="5F7A5BD8" w14:textId="1E1A41D9" w:rsidR="007A5C7C" w:rsidRDefault="007A5C7C" w:rsidP="00B82F71">
      <w:pPr>
        <w:ind w:left="720"/>
        <w:jc w:val="left"/>
      </w:pPr>
      <w:r w:rsidRPr="007A5C7C">
        <w:t xml:space="preserve">23.5.2025. </w:t>
      </w:r>
      <w:r w:rsidRPr="00B82F71">
        <w:rPr>
          <w:i/>
          <w:iCs/>
        </w:rPr>
        <w:t>Georgia / Syksyn 2024 mielenosoitukset ja mielivaltaiset pidätykset.</w:t>
      </w:r>
      <w:r>
        <w:t xml:space="preserve"> </w:t>
      </w:r>
      <w:hyperlink r:id="rId24" w:history="1">
        <w:r w:rsidR="00B82F71" w:rsidRPr="00FE17CC">
          <w:rPr>
            <w:rStyle w:val="Hyperlinkki"/>
          </w:rPr>
          <w:t>https://maatieto.migri.fi/base/2724d19a-5460-485d-bff8-6cd8f75f86d5/countryDocument/9b5a4058-87c9-4b98-9edb-5dc75d23dc9e</w:t>
        </w:r>
      </w:hyperlink>
      <w:r>
        <w:t xml:space="preserve"> </w:t>
      </w:r>
      <w:r w:rsidR="009F6E04" w:rsidRPr="009F6E04">
        <w:t>(kä</w:t>
      </w:r>
      <w:r w:rsidR="009F6E04">
        <w:t>yty 26.2.2026).</w:t>
      </w:r>
    </w:p>
    <w:p w14:paraId="54716E0D" w14:textId="0714F651" w:rsidR="000263D7" w:rsidRDefault="000263D7" w:rsidP="00B82F71">
      <w:pPr>
        <w:ind w:left="720"/>
        <w:jc w:val="left"/>
      </w:pPr>
      <w:r w:rsidRPr="000263D7">
        <w:lastRenderedPageBreak/>
        <w:t>7.5.2025</w:t>
      </w:r>
      <w:r>
        <w:t xml:space="preserve">. </w:t>
      </w:r>
      <w:r w:rsidRPr="00B82F71">
        <w:rPr>
          <w:i/>
          <w:iCs/>
        </w:rPr>
        <w:t>Georgia / Seksuaali- ja sukupuolivähemmistöihin kohdistuvat väkivaltatapaukset ja viharikokset</w:t>
      </w:r>
      <w:r>
        <w:t xml:space="preserve">. </w:t>
      </w:r>
      <w:hyperlink r:id="rId25" w:history="1">
        <w:r w:rsidRPr="00FE17CC">
          <w:rPr>
            <w:rStyle w:val="Hyperlinkki"/>
          </w:rPr>
          <w:t>https://maatieto.migri.fi/base/2724d19a-5460-485d-bff8-6cd8f75f86d5/countryDocument/1f4e93e8-ca67-4914-b815-a4bb711d0439</w:t>
        </w:r>
      </w:hyperlink>
      <w:r>
        <w:t xml:space="preserve"> </w:t>
      </w:r>
      <w:r w:rsidR="009F6E04" w:rsidRPr="009F6E04">
        <w:t>(kä</w:t>
      </w:r>
      <w:r w:rsidR="009F6E04">
        <w:t>yty 26.2.2026).</w:t>
      </w:r>
    </w:p>
    <w:p w14:paraId="469E4F80" w14:textId="4A3A27DD" w:rsidR="00D45758" w:rsidRDefault="00D45758" w:rsidP="00B82F71">
      <w:pPr>
        <w:ind w:left="720"/>
        <w:jc w:val="left"/>
      </w:pPr>
      <w:r w:rsidRPr="00D45758">
        <w:t>13.7.2023.</w:t>
      </w:r>
      <w:r>
        <w:t xml:space="preserve"> </w:t>
      </w:r>
      <w:r w:rsidRPr="00B82F71">
        <w:rPr>
          <w:i/>
          <w:iCs/>
        </w:rPr>
        <w:t>Georgia / Tiedotusvälineiden edustajien toimintaympäristö; tiedotusvälineiden edustajiin, erityisesti toimittajiin ja valokuvaajiin kohdistuva viranomaispainostus ja oikeudenloukkaukset.</w:t>
      </w:r>
      <w:r>
        <w:t xml:space="preserve"> </w:t>
      </w:r>
      <w:hyperlink r:id="rId26" w:history="1">
        <w:r w:rsidRPr="00FE17CC">
          <w:rPr>
            <w:rStyle w:val="Hyperlinkki"/>
          </w:rPr>
          <w:t>https://maatieto.migri.fi/base/2724d19a-5460-485d-bff8-6cd8f75f86d5/countryDocument/61899112-5ba2-4c44-8b04-62877b1e90de</w:t>
        </w:r>
      </w:hyperlink>
      <w:r>
        <w:t xml:space="preserve"> </w:t>
      </w:r>
      <w:r w:rsidR="009F6E04" w:rsidRPr="009F6E04">
        <w:t>(kä</w:t>
      </w:r>
      <w:r w:rsidR="009F6E04">
        <w:t>yty 26.2.2026).</w:t>
      </w:r>
    </w:p>
    <w:p w14:paraId="2CA2D9D6" w14:textId="1DBD12D2" w:rsidR="000263D7" w:rsidRDefault="000263D7" w:rsidP="009F6E04">
      <w:pPr>
        <w:jc w:val="left"/>
      </w:pPr>
      <w:r w:rsidRPr="00D03766">
        <w:rPr>
          <w:lang w:val="en-US"/>
        </w:rPr>
        <w:t xml:space="preserve">OC Media 4.3.2026. </w:t>
      </w:r>
      <w:r w:rsidRPr="00B82F71">
        <w:rPr>
          <w:i/>
          <w:iCs/>
          <w:lang w:val="en-US"/>
        </w:rPr>
        <w:t>Georgia adopts new grant restrictions and bans questioning government legitimacy</w:t>
      </w:r>
      <w:r>
        <w:rPr>
          <w:lang w:val="en-US"/>
        </w:rPr>
        <w:t xml:space="preserve">. </w:t>
      </w:r>
      <w:hyperlink r:id="rId27" w:history="1">
        <w:r w:rsidRPr="000263D7">
          <w:rPr>
            <w:rStyle w:val="Hyperlinkki"/>
          </w:rPr>
          <w:t>https://oc-media.org/georgia-adopts-new-grant-restrictions-and-bans-questioning-government-legitimacy/</w:t>
        </w:r>
      </w:hyperlink>
      <w:r w:rsidRPr="000263D7">
        <w:t xml:space="preserve"> (kä</w:t>
      </w:r>
      <w:r>
        <w:t>yty 13.3.2026).</w:t>
      </w:r>
    </w:p>
    <w:p w14:paraId="7987B829" w14:textId="2835DB82" w:rsidR="00EB5389" w:rsidRPr="000263D7" w:rsidRDefault="00EB5389" w:rsidP="009F6E04">
      <w:pPr>
        <w:jc w:val="left"/>
      </w:pPr>
      <w:r w:rsidRPr="00EB5389">
        <w:t>Office for Foreigners 17.10.2025</w:t>
      </w:r>
      <w:r>
        <w:t xml:space="preserve">. </w:t>
      </w:r>
      <w:r w:rsidRPr="00B82F71">
        <w:rPr>
          <w:i/>
          <w:iCs/>
        </w:rPr>
        <w:t>Gruzja; Sytuacja Bezpieczeństwa: Sytuacja bezpieczeństwa i zagrożenia dla ludności cywilnej.</w:t>
      </w:r>
      <w:r>
        <w:t xml:space="preserve"> </w:t>
      </w:r>
      <w:hyperlink r:id="rId28" w:history="1">
        <w:r w:rsidRPr="00FE17CC">
          <w:rPr>
            <w:rStyle w:val="Hyperlinkki"/>
          </w:rPr>
          <w:t>https://coi.euaa.europa.eu/administration/poland/PLib/357.pdf</w:t>
        </w:r>
      </w:hyperlink>
      <w:r>
        <w:t xml:space="preserve"> </w:t>
      </w:r>
      <w:r w:rsidR="009F6E04" w:rsidRPr="009F6E04">
        <w:t>(kä</w:t>
      </w:r>
      <w:r w:rsidR="009F6E04">
        <w:t>yty 26.2.2026).</w:t>
      </w:r>
    </w:p>
    <w:p w14:paraId="4F84E289" w14:textId="21ECCD2D" w:rsidR="000263D7" w:rsidRPr="00DD2ADE" w:rsidRDefault="000263D7" w:rsidP="009F6E04">
      <w:pPr>
        <w:jc w:val="left"/>
      </w:pPr>
      <w:r w:rsidRPr="000263D7">
        <w:rPr>
          <w:lang w:val="en-US"/>
        </w:rPr>
        <w:t xml:space="preserve">OMCT </w:t>
      </w:r>
      <w:r w:rsidR="000B22E2">
        <w:rPr>
          <w:lang w:val="en-US"/>
        </w:rPr>
        <w:t>(</w:t>
      </w:r>
      <w:r w:rsidR="000B22E2" w:rsidRPr="000B22E2">
        <w:rPr>
          <w:lang w:val="en-US"/>
        </w:rPr>
        <w:t>Organisation Mondiale Contre la Torture</w:t>
      </w:r>
      <w:r w:rsidR="000B22E2">
        <w:rPr>
          <w:lang w:val="en-US"/>
        </w:rPr>
        <w:t xml:space="preserve">) </w:t>
      </w:r>
      <w:r w:rsidRPr="000263D7">
        <w:rPr>
          <w:lang w:val="en-US"/>
        </w:rPr>
        <w:t xml:space="preserve">&amp; FIDH </w:t>
      </w:r>
      <w:r w:rsidR="000B22E2">
        <w:rPr>
          <w:lang w:val="en-US"/>
        </w:rPr>
        <w:t>(</w:t>
      </w:r>
      <w:r w:rsidR="000B22E2" w:rsidRPr="000B22E2">
        <w:rPr>
          <w:lang w:val="en-US"/>
        </w:rPr>
        <w:t>Fédération internationale pour les droits humains</w:t>
      </w:r>
      <w:r w:rsidR="000B22E2">
        <w:rPr>
          <w:lang w:val="en-US"/>
        </w:rPr>
        <w:t xml:space="preserve">) </w:t>
      </w:r>
      <w:r w:rsidRPr="000263D7">
        <w:rPr>
          <w:lang w:val="en-US"/>
        </w:rPr>
        <w:t xml:space="preserve">11/2025. </w:t>
      </w:r>
      <w:r w:rsidRPr="00B82F71">
        <w:rPr>
          <w:i/>
          <w:iCs/>
          <w:lang w:val="en-US"/>
        </w:rPr>
        <w:t xml:space="preserve">Under Siege: How Georgia Is Dismantling Civil Society Findings from the Observatory for the Protection of Human Rights Defenders’ Field Mission. </w:t>
      </w:r>
      <w:hyperlink r:id="rId29" w:history="1">
        <w:r w:rsidRPr="009F6E04">
          <w:rPr>
            <w:rStyle w:val="Hyperlinkki"/>
          </w:rPr>
          <w:t>https://www.omct.org/site-resources/images/Under-Siege-Georgia-Final.pdf</w:t>
        </w:r>
      </w:hyperlink>
      <w:r w:rsidRPr="009F6E04">
        <w:t xml:space="preserve"> </w:t>
      </w:r>
      <w:r w:rsidR="009F6E04" w:rsidRPr="009F6E04">
        <w:t>(kä</w:t>
      </w:r>
      <w:r w:rsidR="009F6E04">
        <w:t>yty 26.2.2026).</w:t>
      </w:r>
    </w:p>
    <w:p w14:paraId="0F0DB898" w14:textId="19C6049D" w:rsidR="00EB5389" w:rsidRPr="00DD2ADE" w:rsidRDefault="00EB5389" w:rsidP="009F6E04">
      <w:pPr>
        <w:jc w:val="left"/>
      </w:pPr>
      <w:r>
        <w:rPr>
          <w:lang w:val="en-US"/>
        </w:rPr>
        <w:t xml:space="preserve">RFE/RL </w:t>
      </w:r>
      <w:r w:rsidR="000B22E2">
        <w:rPr>
          <w:lang w:val="en-US"/>
        </w:rPr>
        <w:t>(</w:t>
      </w:r>
      <w:r w:rsidR="000B22E2" w:rsidRPr="000B22E2">
        <w:rPr>
          <w:lang w:val="en-US"/>
        </w:rPr>
        <w:t>Radio Free Europe/Radio Liberty</w:t>
      </w:r>
      <w:r w:rsidR="000B22E2">
        <w:rPr>
          <w:lang w:val="en-US"/>
        </w:rPr>
        <w:t xml:space="preserve">) </w:t>
      </w:r>
      <w:r>
        <w:rPr>
          <w:lang w:val="en-US"/>
        </w:rPr>
        <w:t xml:space="preserve">4.12.2013. </w:t>
      </w:r>
      <w:r w:rsidRPr="00B82F71">
        <w:rPr>
          <w:i/>
          <w:iCs/>
          <w:lang w:val="en-US"/>
        </w:rPr>
        <w:t>From Maidan To Berkut: A Ukraine Protest Glossary.</w:t>
      </w:r>
      <w:r>
        <w:rPr>
          <w:lang w:val="en-US"/>
        </w:rPr>
        <w:t xml:space="preserve"> </w:t>
      </w:r>
      <w:hyperlink r:id="rId30" w:history="1">
        <w:r w:rsidRPr="009F6E04">
          <w:rPr>
            <w:rStyle w:val="Hyperlinkki"/>
          </w:rPr>
          <w:t>https://www.rferl.org/a/ukraine-protest-glossary-euromaydan/25190085.html</w:t>
        </w:r>
      </w:hyperlink>
      <w:r w:rsidRPr="009F6E04">
        <w:t xml:space="preserve"> </w:t>
      </w:r>
      <w:r w:rsidR="009F6E04" w:rsidRPr="009F6E04">
        <w:t>(kä</w:t>
      </w:r>
      <w:r w:rsidR="009F6E04">
        <w:t>yty 26.2.2026).</w:t>
      </w:r>
    </w:p>
    <w:p w14:paraId="29CF38DA" w14:textId="73F52C19" w:rsidR="00B82F71" w:rsidRDefault="00623A74" w:rsidP="009F6E04">
      <w:pPr>
        <w:jc w:val="left"/>
        <w:rPr>
          <w:lang w:val="en-US"/>
        </w:rPr>
      </w:pPr>
      <w:r w:rsidRPr="00623A74">
        <w:rPr>
          <w:lang w:val="en-US"/>
        </w:rPr>
        <w:t xml:space="preserve">RSF </w:t>
      </w:r>
      <w:r w:rsidR="000B22E2">
        <w:rPr>
          <w:lang w:val="en-US"/>
        </w:rPr>
        <w:t>(</w:t>
      </w:r>
      <w:r w:rsidR="000B22E2" w:rsidRPr="000B22E2">
        <w:rPr>
          <w:lang w:val="en-US"/>
        </w:rPr>
        <w:t>Reporters Sans Frontières</w:t>
      </w:r>
      <w:r w:rsidR="000B22E2">
        <w:rPr>
          <w:lang w:val="en-US"/>
        </w:rPr>
        <w:t>)</w:t>
      </w:r>
    </w:p>
    <w:p w14:paraId="79CD0EE5" w14:textId="0DC4D326" w:rsidR="00623A74" w:rsidRDefault="00623A74" w:rsidP="00B82F71">
      <w:pPr>
        <w:ind w:firstLine="720"/>
        <w:jc w:val="left"/>
        <w:rPr>
          <w:lang w:val="en-US"/>
        </w:rPr>
      </w:pPr>
      <w:r w:rsidRPr="00623A74">
        <w:rPr>
          <w:lang w:val="en-US"/>
        </w:rPr>
        <w:t xml:space="preserve">2026. </w:t>
      </w:r>
      <w:r w:rsidRPr="00B82F71">
        <w:rPr>
          <w:i/>
          <w:iCs/>
          <w:lang w:val="en-US"/>
        </w:rPr>
        <w:t>Georgia</w:t>
      </w:r>
      <w:r w:rsidRPr="00623A74">
        <w:rPr>
          <w:lang w:val="en-US"/>
        </w:rPr>
        <w:t xml:space="preserve">. </w:t>
      </w:r>
      <w:hyperlink r:id="rId31" w:history="1">
        <w:r w:rsidRPr="00FE17CC">
          <w:rPr>
            <w:rStyle w:val="Hyperlinkki"/>
            <w:lang w:val="en-US"/>
          </w:rPr>
          <w:t>https://rsf.org/en/country/georgia</w:t>
        </w:r>
      </w:hyperlink>
      <w:r>
        <w:rPr>
          <w:lang w:val="en-US"/>
        </w:rPr>
        <w:t xml:space="preserve"> </w:t>
      </w:r>
      <w:r w:rsidR="009F6E04" w:rsidRPr="00D03766">
        <w:rPr>
          <w:lang w:val="en-US"/>
        </w:rPr>
        <w:t>(käyty 6.3.2026).</w:t>
      </w:r>
    </w:p>
    <w:p w14:paraId="414D46CC" w14:textId="26BD9FB0" w:rsidR="009F6E04" w:rsidRPr="009F6E04" w:rsidRDefault="009F6E04" w:rsidP="00B82F71">
      <w:pPr>
        <w:ind w:left="720"/>
        <w:jc w:val="left"/>
      </w:pPr>
      <w:r w:rsidRPr="009F6E04">
        <w:rPr>
          <w:lang w:val="en-US"/>
        </w:rPr>
        <w:t xml:space="preserve">24.11.2025. </w:t>
      </w:r>
      <w:r w:rsidRPr="00B82F71">
        <w:rPr>
          <w:i/>
          <w:iCs/>
          <w:lang w:val="en-US"/>
        </w:rPr>
        <w:t xml:space="preserve">Unprecedented crackdown in Georgia: 600 attacks against the press in one year. </w:t>
      </w:r>
      <w:hyperlink r:id="rId32" w:history="1">
        <w:r w:rsidR="00B82F71" w:rsidRPr="00FE17CC">
          <w:rPr>
            <w:rStyle w:val="Hyperlinkki"/>
          </w:rPr>
          <w:t>https://rsf.org/en/unprecedented-crackdown-georgia-600-attacks-against-press-one-year</w:t>
        </w:r>
      </w:hyperlink>
      <w:r w:rsidRPr="009F6E04">
        <w:t xml:space="preserve"> (kä</w:t>
      </w:r>
      <w:r>
        <w:t>yty 6.3.2026).</w:t>
      </w:r>
    </w:p>
    <w:p w14:paraId="5F349817" w14:textId="59E706E9" w:rsidR="00EB5389" w:rsidRDefault="00EB5389" w:rsidP="009F6E04">
      <w:pPr>
        <w:jc w:val="left"/>
        <w:rPr>
          <w:lang w:val="en-US"/>
        </w:rPr>
      </w:pPr>
      <w:r w:rsidRPr="00EB5389">
        <w:rPr>
          <w:lang w:val="en-US"/>
        </w:rPr>
        <w:t xml:space="preserve">USDOS </w:t>
      </w:r>
      <w:r w:rsidR="000B22E2">
        <w:rPr>
          <w:lang w:val="en-US"/>
        </w:rPr>
        <w:t xml:space="preserve">(United Stated Department of State) </w:t>
      </w:r>
      <w:r>
        <w:rPr>
          <w:lang w:val="en-US"/>
        </w:rPr>
        <w:t xml:space="preserve">8/2025. </w:t>
      </w:r>
      <w:r w:rsidRPr="00B82F71">
        <w:rPr>
          <w:i/>
          <w:iCs/>
          <w:lang w:val="en-US"/>
        </w:rPr>
        <w:t>2024 Country Reports on Human Rights Practices: Georgia.</w:t>
      </w:r>
      <w:r>
        <w:rPr>
          <w:lang w:val="en-US"/>
        </w:rPr>
        <w:t xml:space="preserve"> </w:t>
      </w:r>
      <w:hyperlink r:id="rId33" w:history="1">
        <w:r w:rsidRPr="00FE17CC">
          <w:rPr>
            <w:rStyle w:val="Hyperlinkki"/>
            <w:lang w:val="en-US"/>
          </w:rPr>
          <w:t>https://www.ecoi.net/en/document/2128516.html</w:t>
        </w:r>
      </w:hyperlink>
      <w:r>
        <w:rPr>
          <w:lang w:val="en-US"/>
        </w:rPr>
        <w:t xml:space="preserve"> </w:t>
      </w:r>
      <w:r w:rsidR="009F6E04" w:rsidRPr="00D03766">
        <w:rPr>
          <w:lang w:val="en-US"/>
        </w:rPr>
        <w:t>(käyty 6.3.2026).</w:t>
      </w:r>
    </w:p>
    <w:p w14:paraId="7D22BFC6" w14:textId="62A66123" w:rsidR="00EB5389" w:rsidRPr="009F6E04" w:rsidRDefault="00EB5389" w:rsidP="009F6E04">
      <w:pPr>
        <w:jc w:val="left"/>
      </w:pPr>
      <w:r>
        <w:rPr>
          <w:lang w:val="en-US"/>
        </w:rPr>
        <w:t xml:space="preserve">VOA </w:t>
      </w:r>
      <w:r w:rsidR="000B22E2">
        <w:rPr>
          <w:lang w:val="en-US"/>
        </w:rPr>
        <w:t xml:space="preserve">(Voice of America) </w:t>
      </w:r>
      <w:r>
        <w:rPr>
          <w:lang w:val="en-US"/>
        </w:rPr>
        <w:t xml:space="preserve">11.12.2024. </w:t>
      </w:r>
      <w:r w:rsidRPr="00B82F71">
        <w:rPr>
          <w:i/>
          <w:iCs/>
          <w:lang w:val="en-US"/>
        </w:rPr>
        <w:t>Hundreds of arrests and mysterious beatings as Georgia cracks down on pro-EU protests.</w:t>
      </w:r>
      <w:r>
        <w:rPr>
          <w:lang w:val="en-US"/>
        </w:rPr>
        <w:t xml:space="preserve"> </w:t>
      </w:r>
      <w:hyperlink r:id="rId34" w:history="1">
        <w:r w:rsidRPr="009F6E04">
          <w:rPr>
            <w:rStyle w:val="Hyperlinkki"/>
          </w:rPr>
          <w:t>https://www.voanews.com/a/hundreds-of-arrests-and-mysterious-beatings-as-georgia-cracks-down-on-pro-eu-protests/7897114.html</w:t>
        </w:r>
      </w:hyperlink>
      <w:r w:rsidRPr="009F6E04">
        <w:t xml:space="preserve"> </w:t>
      </w:r>
      <w:r w:rsidR="009F6E04" w:rsidRPr="009F6E04">
        <w:t>(kä</w:t>
      </w:r>
      <w:r w:rsidR="009F6E04">
        <w:t>yty 26.2.2026).</w:t>
      </w:r>
    </w:p>
    <w:p w14:paraId="7934DC2C" w14:textId="77777777" w:rsidR="00082DFE" w:rsidRPr="001D5CAA" w:rsidRDefault="004316F2" w:rsidP="00082DFE">
      <w:pPr>
        <w:pStyle w:val="LeiptekstiMigri"/>
        <w:ind w:left="0"/>
        <w:rPr>
          <w:lang w:val="en-GB"/>
        </w:rPr>
      </w:pPr>
      <w:r>
        <w:rPr>
          <w:b/>
        </w:rPr>
        <w:pict w14:anchorId="2D7C6800">
          <v:rect id="_x0000_i1029" style="width:0;height:1.5pt" o:hralign="center" o:hrstd="t" o:hr="t" fillcolor="#a0a0a0" stroked="f"/>
        </w:pict>
      </w:r>
    </w:p>
    <w:p w14:paraId="7BEF7559" w14:textId="77777777" w:rsidR="00082DFE" w:rsidRDefault="001D63F6" w:rsidP="00810134">
      <w:pPr>
        <w:pStyle w:val="Numeroimatonotsikko"/>
      </w:pPr>
      <w:r>
        <w:t>Tietoja vastauksesta</w:t>
      </w:r>
    </w:p>
    <w:p w14:paraId="2C75D0CB"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w:t>
      </w:r>
      <w:r w:rsidRPr="00A35BCB">
        <w:lastRenderedPageBreak/>
        <w:t>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ED7C028" w14:textId="77777777" w:rsidR="001D63F6" w:rsidRPr="00BC367A" w:rsidRDefault="001D63F6" w:rsidP="00810134">
      <w:pPr>
        <w:pStyle w:val="Numeroimatonotsikko"/>
        <w:rPr>
          <w:lang w:val="en-GB"/>
        </w:rPr>
      </w:pPr>
      <w:r w:rsidRPr="00BC367A">
        <w:rPr>
          <w:lang w:val="en-GB"/>
        </w:rPr>
        <w:t>Information on the response</w:t>
      </w:r>
    </w:p>
    <w:p w14:paraId="75F39226"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C3AB0EC" w14:textId="00136D48" w:rsidR="00B112B8" w:rsidRPr="00A35BCB" w:rsidRDefault="00B112B8" w:rsidP="00A35BCB">
      <w:pPr>
        <w:rPr>
          <w:lang w:val="en-GB"/>
        </w:rPr>
      </w:pPr>
    </w:p>
    <w:sectPr w:rsidR="00B112B8" w:rsidRPr="00A35BCB" w:rsidSect="00072438">
      <w:headerReference w:type="default" r:id="rId35"/>
      <w:headerReference w:type="first" r:id="rId36"/>
      <w:footerReference w:type="first" r:id="rId3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B646" w14:textId="77777777" w:rsidR="001755D8" w:rsidRDefault="001755D8" w:rsidP="007E0069">
      <w:pPr>
        <w:spacing w:after="0" w:line="240" w:lineRule="auto"/>
      </w:pPr>
      <w:r>
        <w:separator/>
      </w:r>
    </w:p>
  </w:endnote>
  <w:endnote w:type="continuationSeparator" w:id="0">
    <w:p w14:paraId="49A38FD1" w14:textId="77777777" w:rsidR="001755D8" w:rsidRDefault="001755D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304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A14E1CC" w14:textId="77777777" w:rsidTr="00483E37">
      <w:trPr>
        <w:trHeight w:val="189"/>
      </w:trPr>
      <w:tc>
        <w:tcPr>
          <w:tcW w:w="1560" w:type="dxa"/>
        </w:tcPr>
        <w:p w14:paraId="65DA2978" w14:textId="77777777" w:rsidR="004D76E3" w:rsidRPr="00A83D54" w:rsidRDefault="004D76E3" w:rsidP="00337E76">
          <w:pPr>
            <w:pStyle w:val="Alatunniste"/>
            <w:rPr>
              <w:sz w:val="14"/>
              <w:szCs w:val="14"/>
            </w:rPr>
          </w:pPr>
        </w:p>
      </w:tc>
      <w:tc>
        <w:tcPr>
          <w:tcW w:w="2551" w:type="dxa"/>
        </w:tcPr>
        <w:p w14:paraId="7D75C418" w14:textId="77777777" w:rsidR="004D76E3" w:rsidRPr="00A83D54" w:rsidRDefault="004D76E3" w:rsidP="00337E76">
          <w:pPr>
            <w:pStyle w:val="Alatunniste"/>
            <w:rPr>
              <w:sz w:val="14"/>
              <w:szCs w:val="14"/>
            </w:rPr>
          </w:pPr>
        </w:p>
      </w:tc>
      <w:tc>
        <w:tcPr>
          <w:tcW w:w="2552" w:type="dxa"/>
        </w:tcPr>
        <w:p w14:paraId="29F0D551" w14:textId="77777777" w:rsidR="004D76E3" w:rsidRPr="00A83D54" w:rsidRDefault="004D76E3" w:rsidP="00337E76">
          <w:pPr>
            <w:pStyle w:val="Alatunniste"/>
            <w:rPr>
              <w:sz w:val="14"/>
              <w:szCs w:val="14"/>
            </w:rPr>
          </w:pPr>
        </w:p>
      </w:tc>
      <w:tc>
        <w:tcPr>
          <w:tcW w:w="2830" w:type="dxa"/>
        </w:tcPr>
        <w:p w14:paraId="17343D00" w14:textId="77777777" w:rsidR="004D76E3" w:rsidRPr="00A83D54" w:rsidRDefault="004D76E3" w:rsidP="00337E76">
          <w:pPr>
            <w:pStyle w:val="Alatunniste"/>
            <w:rPr>
              <w:sz w:val="14"/>
              <w:szCs w:val="14"/>
            </w:rPr>
          </w:pPr>
        </w:p>
      </w:tc>
    </w:tr>
    <w:tr w:rsidR="004D76E3" w:rsidRPr="00A83D54" w14:paraId="2DDE3875" w14:textId="77777777" w:rsidTr="00483E37">
      <w:trPr>
        <w:trHeight w:val="189"/>
      </w:trPr>
      <w:tc>
        <w:tcPr>
          <w:tcW w:w="1560" w:type="dxa"/>
        </w:tcPr>
        <w:p w14:paraId="1E271CD0" w14:textId="77777777" w:rsidR="004D76E3" w:rsidRPr="00A83D54" w:rsidRDefault="004D76E3" w:rsidP="00337E76">
          <w:pPr>
            <w:pStyle w:val="Alatunniste"/>
            <w:rPr>
              <w:sz w:val="14"/>
              <w:szCs w:val="14"/>
            </w:rPr>
          </w:pPr>
        </w:p>
      </w:tc>
      <w:tc>
        <w:tcPr>
          <w:tcW w:w="2551" w:type="dxa"/>
        </w:tcPr>
        <w:p w14:paraId="5D8918E6" w14:textId="77777777" w:rsidR="004D76E3" w:rsidRPr="00A83D54" w:rsidRDefault="004D76E3" w:rsidP="00337E76">
          <w:pPr>
            <w:pStyle w:val="Alatunniste"/>
            <w:rPr>
              <w:sz w:val="14"/>
              <w:szCs w:val="14"/>
            </w:rPr>
          </w:pPr>
        </w:p>
      </w:tc>
      <w:tc>
        <w:tcPr>
          <w:tcW w:w="2552" w:type="dxa"/>
        </w:tcPr>
        <w:p w14:paraId="6F8D1860" w14:textId="77777777" w:rsidR="004D76E3" w:rsidRPr="00A83D54" w:rsidRDefault="004D76E3" w:rsidP="00337E76">
          <w:pPr>
            <w:pStyle w:val="Alatunniste"/>
            <w:rPr>
              <w:sz w:val="14"/>
              <w:szCs w:val="14"/>
            </w:rPr>
          </w:pPr>
        </w:p>
      </w:tc>
      <w:tc>
        <w:tcPr>
          <w:tcW w:w="2830" w:type="dxa"/>
        </w:tcPr>
        <w:p w14:paraId="12ED1F80" w14:textId="77777777" w:rsidR="004D76E3" w:rsidRPr="00A83D54" w:rsidRDefault="004D76E3" w:rsidP="00337E76">
          <w:pPr>
            <w:pStyle w:val="Alatunniste"/>
            <w:rPr>
              <w:sz w:val="14"/>
              <w:szCs w:val="14"/>
            </w:rPr>
          </w:pPr>
        </w:p>
      </w:tc>
    </w:tr>
    <w:tr w:rsidR="004D76E3" w:rsidRPr="00A83D54" w14:paraId="1AF3BC21" w14:textId="77777777" w:rsidTr="00483E37">
      <w:trPr>
        <w:trHeight w:val="189"/>
      </w:trPr>
      <w:tc>
        <w:tcPr>
          <w:tcW w:w="1560" w:type="dxa"/>
        </w:tcPr>
        <w:p w14:paraId="4128BADE" w14:textId="77777777" w:rsidR="004D76E3" w:rsidRPr="00A83D54" w:rsidRDefault="004D76E3" w:rsidP="00337E76">
          <w:pPr>
            <w:pStyle w:val="Alatunniste"/>
            <w:rPr>
              <w:sz w:val="14"/>
              <w:szCs w:val="14"/>
            </w:rPr>
          </w:pPr>
        </w:p>
      </w:tc>
      <w:tc>
        <w:tcPr>
          <w:tcW w:w="2551" w:type="dxa"/>
        </w:tcPr>
        <w:p w14:paraId="5295B2BC" w14:textId="77777777" w:rsidR="004D76E3" w:rsidRPr="00A83D54" w:rsidRDefault="004D76E3" w:rsidP="00337E76">
          <w:pPr>
            <w:pStyle w:val="Alatunniste"/>
            <w:rPr>
              <w:sz w:val="14"/>
              <w:szCs w:val="14"/>
            </w:rPr>
          </w:pPr>
        </w:p>
      </w:tc>
      <w:tc>
        <w:tcPr>
          <w:tcW w:w="2552" w:type="dxa"/>
        </w:tcPr>
        <w:p w14:paraId="53F6B934" w14:textId="77777777" w:rsidR="004D76E3" w:rsidRPr="00A83D54" w:rsidRDefault="004D76E3" w:rsidP="00337E76">
          <w:pPr>
            <w:pStyle w:val="Alatunniste"/>
            <w:rPr>
              <w:sz w:val="14"/>
              <w:szCs w:val="14"/>
            </w:rPr>
          </w:pPr>
        </w:p>
      </w:tc>
      <w:tc>
        <w:tcPr>
          <w:tcW w:w="2830" w:type="dxa"/>
        </w:tcPr>
        <w:p w14:paraId="3B2BD0BD" w14:textId="77777777" w:rsidR="004D76E3" w:rsidRPr="00A83D54" w:rsidRDefault="004D76E3" w:rsidP="00337E76">
          <w:pPr>
            <w:pStyle w:val="Alatunniste"/>
            <w:rPr>
              <w:sz w:val="14"/>
              <w:szCs w:val="14"/>
            </w:rPr>
          </w:pPr>
        </w:p>
      </w:tc>
    </w:tr>
  </w:tbl>
  <w:p w14:paraId="1384ECD2"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DA8A3B5" wp14:editId="699D1E7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D7DFBE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963B" w14:textId="77777777" w:rsidR="001755D8" w:rsidRDefault="001755D8" w:rsidP="007E0069">
      <w:pPr>
        <w:spacing w:after="0" w:line="240" w:lineRule="auto"/>
      </w:pPr>
      <w:r>
        <w:separator/>
      </w:r>
    </w:p>
  </w:footnote>
  <w:footnote w:type="continuationSeparator" w:id="0">
    <w:p w14:paraId="53874717" w14:textId="77777777" w:rsidR="001755D8" w:rsidRDefault="001755D8" w:rsidP="007E0069">
      <w:pPr>
        <w:spacing w:after="0" w:line="240" w:lineRule="auto"/>
      </w:pPr>
      <w:r>
        <w:continuationSeparator/>
      </w:r>
    </w:p>
  </w:footnote>
  <w:footnote w:id="1">
    <w:p w14:paraId="1D7EF0DE" w14:textId="3E44BEB6" w:rsidR="00737EF7" w:rsidRPr="002D1B3B" w:rsidRDefault="002D1B3B">
      <w:pPr>
        <w:pStyle w:val="Alaviitteenteksti"/>
        <w:rPr>
          <w:lang w:val="en-US"/>
        </w:rPr>
      </w:pPr>
      <w:r>
        <w:rPr>
          <w:rStyle w:val="Alaviitteenviite"/>
        </w:rPr>
        <w:footnoteRef/>
      </w:r>
      <w:r w:rsidRPr="002D1B3B">
        <w:rPr>
          <w:lang w:val="en-US"/>
        </w:rPr>
        <w:t xml:space="preserve"> </w:t>
      </w:r>
      <w:r w:rsidR="00521FC4">
        <w:rPr>
          <w:lang w:val="en-US"/>
        </w:rPr>
        <w:t xml:space="preserve">Britannica 19.2.2026; </w:t>
      </w:r>
      <w:bookmarkStart w:id="1" w:name="_Hlk224399811"/>
      <w:r w:rsidR="007A5C7C">
        <w:rPr>
          <w:lang w:val="en-US"/>
        </w:rPr>
        <w:t>Freedom House 2025.</w:t>
      </w:r>
      <w:bookmarkEnd w:id="1"/>
    </w:p>
  </w:footnote>
  <w:footnote w:id="2">
    <w:p w14:paraId="0061C292" w14:textId="22A6BCF7" w:rsidR="008013B4" w:rsidRPr="008013B4" w:rsidRDefault="002D1B3B" w:rsidP="002D1B3B">
      <w:pPr>
        <w:pStyle w:val="Alaviitteenteksti"/>
        <w:rPr>
          <w:lang w:val="en-US"/>
        </w:rPr>
      </w:pPr>
      <w:r>
        <w:rPr>
          <w:rStyle w:val="Alaviitteenviite"/>
        </w:rPr>
        <w:footnoteRef/>
      </w:r>
      <w:r w:rsidRPr="00A33B93">
        <w:rPr>
          <w:lang w:val="en-US"/>
        </w:rPr>
        <w:t xml:space="preserve"> </w:t>
      </w:r>
      <w:r w:rsidR="007A5C7C">
        <w:rPr>
          <w:lang w:val="en-US"/>
        </w:rPr>
        <w:t xml:space="preserve">International IDEA 5/2025; </w:t>
      </w:r>
      <w:r w:rsidR="007A5C7C" w:rsidRPr="007A5C7C">
        <w:rPr>
          <w:lang w:val="en-US"/>
        </w:rPr>
        <w:t>Global Initiative Against Transnational Organized Crime</w:t>
      </w:r>
      <w:r w:rsidR="007A5C7C">
        <w:rPr>
          <w:lang w:val="en-US"/>
        </w:rPr>
        <w:t xml:space="preserve"> 8/2025, s. 24</w:t>
      </w:r>
      <w:r w:rsidR="005F6C01">
        <w:rPr>
          <w:lang w:val="en-US"/>
        </w:rPr>
        <w:t>–25</w:t>
      </w:r>
      <w:r w:rsidR="007A5C7C">
        <w:rPr>
          <w:lang w:val="en-US"/>
        </w:rPr>
        <w:t xml:space="preserve">. </w:t>
      </w:r>
    </w:p>
  </w:footnote>
  <w:footnote w:id="3">
    <w:p w14:paraId="156BF350" w14:textId="7BC037E6" w:rsidR="00C368F5" w:rsidRPr="009F5CDD" w:rsidRDefault="00C368F5" w:rsidP="007A5C7C">
      <w:pPr>
        <w:pStyle w:val="Alaviitteenteksti"/>
        <w:rPr>
          <w:lang w:val="en-US"/>
        </w:rPr>
      </w:pPr>
      <w:r>
        <w:rPr>
          <w:rStyle w:val="Alaviitteenviite"/>
        </w:rPr>
        <w:footnoteRef/>
      </w:r>
      <w:r w:rsidRPr="009F5CDD">
        <w:rPr>
          <w:lang w:val="en-US"/>
        </w:rPr>
        <w:t xml:space="preserve"> </w:t>
      </w:r>
      <w:r w:rsidR="007A5C7C">
        <w:rPr>
          <w:lang w:val="en-US"/>
        </w:rPr>
        <w:t>Britannica 19.2.2026; Freedom House 2025.</w:t>
      </w:r>
    </w:p>
  </w:footnote>
  <w:footnote w:id="4">
    <w:p w14:paraId="24F74130" w14:textId="50378065" w:rsidR="007A5C7C" w:rsidRPr="007A5C7C" w:rsidRDefault="007A5C7C">
      <w:pPr>
        <w:pStyle w:val="Alaviitteenteksti"/>
        <w:rPr>
          <w:lang w:val="en-US"/>
        </w:rPr>
      </w:pPr>
      <w:r>
        <w:rPr>
          <w:rStyle w:val="Alaviitteenviite"/>
        </w:rPr>
        <w:footnoteRef/>
      </w:r>
      <w:r w:rsidRPr="007A5C7C">
        <w:rPr>
          <w:lang w:val="en-US"/>
        </w:rPr>
        <w:t xml:space="preserve"> </w:t>
      </w:r>
      <w:r>
        <w:rPr>
          <w:lang w:val="en-US"/>
        </w:rPr>
        <w:t>Freedom House 2025.</w:t>
      </w:r>
    </w:p>
  </w:footnote>
  <w:footnote w:id="5">
    <w:p w14:paraId="49869A86" w14:textId="5B894D48" w:rsidR="007A5C7C" w:rsidRPr="007A5C7C" w:rsidRDefault="007A5C7C">
      <w:pPr>
        <w:pStyle w:val="Alaviitteenteksti"/>
      </w:pPr>
      <w:r>
        <w:rPr>
          <w:rStyle w:val="Alaviitteenviite"/>
        </w:rPr>
        <w:footnoteRef/>
      </w:r>
      <w:r w:rsidR="004316F2">
        <w:t xml:space="preserve"> </w:t>
      </w:r>
      <w:r w:rsidRPr="007A5C7C">
        <w:t>Euroopan komissio 4.11.2025, s. 4. Lokakuun 2024 vaaleja on käsitelty myös Maahanmuuttoviraston maatietopalvelun 23.5.2025 julkaistussa kyselyvastauksessa (Maahanmuuttovirasto / Maatietopalvelu 23.5.2025).</w:t>
      </w:r>
    </w:p>
  </w:footnote>
  <w:footnote w:id="6">
    <w:p w14:paraId="09B95BBF" w14:textId="036FB556" w:rsidR="007A5C7C" w:rsidRPr="007A5C7C" w:rsidRDefault="007A5C7C">
      <w:pPr>
        <w:pStyle w:val="Alaviitteenteksti"/>
        <w:rPr>
          <w:lang w:val="en-US"/>
        </w:rPr>
      </w:pPr>
      <w:r>
        <w:rPr>
          <w:rStyle w:val="Alaviitteenviite"/>
        </w:rPr>
        <w:footnoteRef/>
      </w:r>
      <w:r w:rsidRPr="007A5C7C">
        <w:rPr>
          <w:lang w:val="en-US"/>
        </w:rPr>
        <w:t xml:space="preserve"> Freedom House 2025</w:t>
      </w:r>
      <w:r>
        <w:rPr>
          <w:lang w:val="en-US"/>
        </w:rPr>
        <w:t xml:space="preserve">; </w:t>
      </w:r>
      <w:r w:rsidRPr="007A5C7C">
        <w:rPr>
          <w:lang w:val="en-US"/>
        </w:rPr>
        <w:t>Euroopan komissio 4.11.2025, s. 4–5.</w:t>
      </w:r>
    </w:p>
  </w:footnote>
  <w:footnote w:id="7">
    <w:p w14:paraId="20D7FEDB" w14:textId="31AC8556" w:rsidR="00E8598F" w:rsidRPr="009F5CDD" w:rsidRDefault="00E8598F" w:rsidP="007A5C7C">
      <w:pPr>
        <w:pStyle w:val="Alaviitteenteksti"/>
        <w:rPr>
          <w:lang w:val="en-US"/>
        </w:rPr>
      </w:pPr>
      <w:r>
        <w:rPr>
          <w:rStyle w:val="Alaviitteenviite"/>
        </w:rPr>
        <w:footnoteRef/>
      </w:r>
      <w:r w:rsidRPr="009F5CDD">
        <w:rPr>
          <w:lang w:val="en-US"/>
        </w:rPr>
        <w:t xml:space="preserve"> </w:t>
      </w:r>
      <w:r w:rsidR="007A5C7C">
        <w:rPr>
          <w:lang w:val="en-US"/>
        </w:rPr>
        <w:t>Britannica 19.2.2026; Freedom House 2025.</w:t>
      </w:r>
    </w:p>
  </w:footnote>
  <w:footnote w:id="8">
    <w:p w14:paraId="126F5ADB" w14:textId="2C51D37D" w:rsidR="007A5C7C" w:rsidRPr="007A5C7C" w:rsidRDefault="007A5C7C">
      <w:pPr>
        <w:pStyle w:val="Alaviitteenteksti"/>
        <w:rPr>
          <w:lang w:val="en-US"/>
        </w:rPr>
      </w:pPr>
      <w:r>
        <w:rPr>
          <w:rStyle w:val="Alaviitteenviite"/>
        </w:rPr>
        <w:footnoteRef/>
      </w:r>
      <w:r w:rsidRPr="007A5C7C">
        <w:rPr>
          <w:lang w:val="en-US"/>
        </w:rPr>
        <w:t xml:space="preserve"> Euroopan komissio 4.11.2025, s. 4.</w:t>
      </w:r>
    </w:p>
  </w:footnote>
  <w:footnote w:id="9">
    <w:p w14:paraId="68811BE5" w14:textId="1DADB156" w:rsidR="00E7080F" w:rsidRPr="00E7080F" w:rsidRDefault="00E7080F">
      <w:pPr>
        <w:pStyle w:val="Alaviitteenteksti"/>
        <w:rPr>
          <w:lang w:val="en-US"/>
        </w:rPr>
      </w:pPr>
      <w:r>
        <w:rPr>
          <w:rStyle w:val="Alaviitteenviite"/>
        </w:rPr>
        <w:footnoteRef/>
      </w:r>
      <w:r w:rsidRPr="00E7080F">
        <w:rPr>
          <w:lang w:val="en-US"/>
        </w:rPr>
        <w:t xml:space="preserve"> </w:t>
      </w:r>
      <w:r w:rsidR="007A5C7C">
        <w:rPr>
          <w:lang w:val="en-US"/>
        </w:rPr>
        <w:t>Amnesty International 3.10.2025.</w:t>
      </w:r>
    </w:p>
  </w:footnote>
  <w:footnote w:id="10">
    <w:p w14:paraId="24481180" w14:textId="39533A24" w:rsidR="002D2357" w:rsidRPr="008013B4" w:rsidRDefault="008013B4">
      <w:pPr>
        <w:pStyle w:val="Alaviitteenteksti"/>
        <w:rPr>
          <w:lang w:val="en-US"/>
        </w:rPr>
      </w:pPr>
      <w:r>
        <w:rPr>
          <w:rStyle w:val="Alaviitteenviite"/>
        </w:rPr>
        <w:footnoteRef/>
      </w:r>
      <w:r w:rsidRPr="008013B4">
        <w:rPr>
          <w:lang w:val="en-US"/>
        </w:rPr>
        <w:t xml:space="preserve"> </w:t>
      </w:r>
      <w:r w:rsidR="007A5C7C" w:rsidRPr="007A5C7C">
        <w:rPr>
          <w:lang w:val="en-US"/>
        </w:rPr>
        <w:t>Global Initiative Against Transnational Organized Crime</w:t>
      </w:r>
      <w:r w:rsidR="007A5C7C">
        <w:rPr>
          <w:lang w:val="en-US"/>
        </w:rPr>
        <w:t xml:space="preserve"> 8/2025, s. 24–25.</w:t>
      </w:r>
    </w:p>
  </w:footnote>
  <w:footnote w:id="11">
    <w:p w14:paraId="5E7760AC" w14:textId="42F22927" w:rsidR="00623A74" w:rsidRDefault="00623A74">
      <w:pPr>
        <w:pStyle w:val="Alaviitteenteksti"/>
      </w:pPr>
      <w:r>
        <w:rPr>
          <w:rStyle w:val="Alaviitteenviite"/>
        </w:rPr>
        <w:footnoteRef/>
      </w:r>
      <w:r>
        <w:t xml:space="preserve"> </w:t>
      </w:r>
      <w:r w:rsidRPr="00623A74">
        <w:t>Euroopan komissio 4.11.2025, s. 3; RSF 2026.</w:t>
      </w:r>
    </w:p>
  </w:footnote>
  <w:footnote w:id="12">
    <w:p w14:paraId="200454E8" w14:textId="7C4851FD" w:rsidR="00623A74" w:rsidRPr="00623A74" w:rsidRDefault="00590663" w:rsidP="00590663">
      <w:pPr>
        <w:pStyle w:val="Alaviitteenteksti"/>
      </w:pPr>
      <w:r>
        <w:rPr>
          <w:rStyle w:val="Alaviitteenviite"/>
        </w:rPr>
        <w:footnoteRef/>
      </w:r>
      <w:r w:rsidR="00623A74" w:rsidRPr="00623A74">
        <w:t xml:space="preserve"> Etyj 24.2.2026, s. 4–5.</w:t>
      </w:r>
    </w:p>
  </w:footnote>
  <w:footnote w:id="13">
    <w:p w14:paraId="51B2C284" w14:textId="1A53591D" w:rsidR="00623A74" w:rsidRPr="000263D7" w:rsidRDefault="00590663" w:rsidP="00590663">
      <w:pPr>
        <w:pStyle w:val="Alaviitteenteksti"/>
        <w:rPr>
          <w:szCs w:val="22"/>
        </w:rPr>
      </w:pPr>
      <w:r>
        <w:rPr>
          <w:rStyle w:val="Alaviitteenviite"/>
        </w:rPr>
        <w:footnoteRef/>
      </w:r>
      <w:r w:rsidRPr="000263D7">
        <w:t xml:space="preserve"> </w:t>
      </w:r>
      <w:r w:rsidR="00623A74" w:rsidRPr="000263D7">
        <w:t>Euroopan komissio 4.11.2025, s. 3–4, 20.</w:t>
      </w:r>
    </w:p>
  </w:footnote>
  <w:footnote w:id="14">
    <w:p w14:paraId="3C14D01C" w14:textId="4919E20C" w:rsidR="00623A74" w:rsidRDefault="00623A74">
      <w:pPr>
        <w:pStyle w:val="Alaviitteenteksti"/>
      </w:pPr>
      <w:r>
        <w:rPr>
          <w:rStyle w:val="Alaviitteenviite"/>
        </w:rPr>
        <w:footnoteRef/>
      </w:r>
      <w:r>
        <w:t xml:space="preserve"> </w:t>
      </w:r>
      <w:r w:rsidRPr="00623A74">
        <w:t>Etyj 24.2.2026, s. 4–5.</w:t>
      </w:r>
    </w:p>
  </w:footnote>
  <w:footnote w:id="15">
    <w:p w14:paraId="0A1877B9" w14:textId="4DBCC4C0" w:rsidR="00D45758" w:rsidRPr="00D45758" w:rsidRDefault="00D45758">
      <w:pPr>
        <w:pStyle w:val="Alaviitteenteksti"/>
        <w:rPr>
          <w:lang w:val="sv-SE"/>
        </w:rPr>
      </w:pPr>
      <w:r>
        <w:rPr>
          <w:rStyle w:val="Alaviitteenviite"/>
        </w:rPr>
        <w:footnoteRef/>
      </w:r>
      <w:r w:rsidRPr="00D45758">
        <w:rPr>
          <w:lang w:val="sv-SE"/>
        </w:rPr>
        <w:t xml:space="preserve"> OMCT &amp; FIDH 11/2025, s. 7.</w:t>
      </w:r>
    </w:p>
  </w:footnote>
  <w:footnote w:id="16">
    <w:p w14:paraId="3A4E60AD" w14:textId="39933BAB" w:rsidR="00623A74" w:rsidRPr="00D45758" w:rsidRDefault="0000016A">
      <w:pPr>
        <w:pStyle w:val="Alaviitteenteksti"/>
        <w:rPr>
          <w:lang w:val="sv-SE"/>
        </w:rPr>
      </w:pPr>
      <w:r>
        <w:rPr>
          <w:rStyle w:val="Alaviitteenviite"/>
        </w:rPr>
        <w:footnoteRef/>
      </w:r>
      <w:r w:rsidRPr="00D45758">
        <w:rPr>
          <w:lang w:val="sv-SE"/>
        </w:rPr>
        <w:t xml:space="preserve"> </w:t>
      </w:r>
      <w:r w:rsidR="00623A74" w:rsidRPr="00D45758">
        <w:rPr>
          <w:lang w:val="sv-SE"/>
        </w:rPr>
        <w:t>Etyj 24.2.2026, s. 25–26.</w:t>
      </w:r>
    </w:p>
  </w:footnote>
  <w:footnote w:id="17">
    <w:p w14:paraId="31C770AC" w14:textId="43981910" w:rsidR="00340E7C" w:rsidRPr="00340E7C" w:rsidRDefault="00433495">
      <w:pPr>
        <w:pStyle w:val="Alaviitteenteksti"/>
      </w:pPr>
      <w:r>
        <w:rPr>
          <w:rStyle w:val="Alaviitteenviite"/>
        </w:rPr>
        <w:footnoteRef/>
      </w:r>
      <w:r w:rsidR="00340E7C" w:rsidRPr="00340E7C">
        <w:t xml:space="preserve"> Etyj 24.2.2026, s. 27–29.</w:t>
      </w:r>
    </w:p>
  </w:footnote>
  <w:footnote w:id="18">
    <w:p w14:paraId="7ABDE7B1" w14:textId="231CECA2" w:rsidR="00340E7C" w:rsidRPr="00340E7C" w:rsidRDefault="007F4389" w:rsidP="007F4389">
      <w:pPr>
        <w:pStyle w:val="Alaviitteenteksti"/>
      </w:pPr>
      <w:r>
        <w:rPr>
          <w:rStyle w:val="Alaviitteenviite"/>
        </w:rPr>
        <w:footnoteRef/>
      </w:r>
      <w:r w:rsidR="00340E7C" w:rsidRPr="00340E7C">
        <w:t xml:space="preserve"> Etyj 24.2.2026, s. 30–31.</w:t>
      </w:r>
    </w:p>
  </w:footnote>
  <w:footnote w:id="19">
    <w:p w14:paraId="7206B7D4" w14:textId="1C891A6B" w:rsidR="000263D7" w:rsidRPr="00D03766" w:rsidRDefault="000263D7">
      <w:pPr>
        <w:pStyle w:val="Alaviitteenteksti"/>
      </w:pPr>
      <w:r>
        <w:rPr>
          <w:rStyle w:val="Alaviitteenviite"/>
        </w:rPr>
        <w:footnoteRef/>
      </w:r>
      <w:r w:rsidRPr="00D03766">
        <w:t xml:space="preserve"> OC Media 4.3.2026; Etyj 24.2.2026, s. 31–32; HRW 9.2.2026.</w:t>
      </w:r>
    </w:p>
  </w:footnote>
  <w:footnote w:id="20">
    <w:p w14:paraId="2B7DF66B" w14:textId="4251F190" w:rsidR="000263D7" w:rsidRDefault="000263D7">
      <w:pPr>
        <w:pStyle w:val="Alaviitteenteksti"/>
      </w:pPr>
      <w:r>
        <w:rPr>
          <w:rStyle w:val="Alaviitteenviite"/>
        </w:rPr>
        <w:footnoteRef/>
      </w:r>
      <w:r>
        <w:t xml:space="preserve"> </w:t>
      </w:r>
      <w:r w:rsidRPr="000263D7">
        <w:t>OMCT &amp; FIDH 11/2025, s. 7. Laki perhearvoista ja lasten suojelusta rajoittaa oppilaitosten, tiedotusvälineiden ja mainostajien mahdollisuuksia "edistää" sukupuoli-identiteettiin ja samaa sukupuolta olevien välisiin suhteisiin liittyvää tietoa. Tämän lisäksi laki rajoittaa seksuaali- ja sukupuolivähemmistöihin kuuluvien henkilöiden oikeutta järjestää kokoontumisia ja mielenilmauksia. Laki myös kieltää sukupuolen juridisen vahvistamisen eli sukupuolimerkinnän muuttamisen henkilön virallisissa asiakirjoissa ja säätää jopa neljän vuoden vankeusrangaistuksen terveydenhuollon ammattilaisille, jotka tarjoavat transihmisille suunnattua hoitoa. Laki kieltää samaa sukupuolta olevien suhteiden juridisen tunnustamisen, ja lisäksi se estää seksuaali- ja sukupuolivähemmistöihin kuuluvia henkilöitä adoptoimasta lapsia tai toimimasta sijaisvanhempina. Laki myös rinnastaa samaa sukupuolta olevien suhteet insestiin. (Maahanmuuttovirasto / Maatietopalvelu 7.5.2025).</w:t>
      </w:r>
    </w:p>
  </w:footnote>
  <w:footnote w:id="21">
    <w:p w14:paraId="6707AB65" w14:textId="57667EE5" w:rsidR="00EB4404" w:rsidRPr="00D03766" w:rsidRDefault="00EB4404" w:rsidP="00EB4404">
      <w:pPr>
        <w:pStyle w:val="Alaviitteenteksti"/>
        <w:rPr>
          <w:lang w:val="en-US"/>
        </w:rPr>
      </w:pPr>
      <w:r>
        <w:rPr>
          <w:rStyle w:val="Alaviitteenviite"/>
        </w:rPr>
        <w:footnoteRef/>
      </w:r>
      <w:r w:rsidRPr="00D03766">
        <w:rPr>
          <w:lang w:val="en-US"/>
        </w:rPr>
        <w:t xml:space="preserve"> </w:t>
      </w:r>
      <w:r w:rsidR="00340E7C" w:rsidRPr="00D03766">
        <w:rPr>
          <w:lang w:val="en-US"/>
        </w:rPr>
        <w:t>Euroopan komissio 4.11.2025, s. 20.</w:t>
      </w:r>
    </w:p>
  </w:footnote>
  <w:footnote w:id="22">
    <w:p w14:paraId="0A7891F8" w14:textId="4FBD611D" w:rsidR="003F56FA" w:rsidRPr="003F56FA" w:rsidRDefault="003F56FA">
      <w:pPr>
        <w:pStyle w:val="Alaviitteenteksti"/>
        <w:rPr>
          <w:lang w:val="en-US"/>
        </w:rPr>
      </w:pPr>
      <w:r>
        <w:rPr>
          <w:rStyle w:val="Alaviitteenviite"/>
        </w:rPr>
        <w:footnoteRef/>
      </w:r>
      <w:r w:rsidR="000263D7">
        <w:rPr>
          <w:lang w:val="en-US"/>
        </w:rPr>
        <w:t xml:space="preserve"> </w:t>
      </w:r>
      <w:r w:rsidR="000263D7" w:rsidRPr="000263D7">
        <w:rPr>
          <w:lang w:val="en-US"/>
        </w:rPr>
        <w:t>Global Initiative Against Transnational Organized Crime 8/2025, s</w:t>
      </w:r>
      <w:r w:rsidR="000263D7">
        <w:rPr>
          <w:lang w:val="en-US"/>
        </w:rPr>
        <w:t>. 25–26.</w:t>
      </w:r>
      <w:r w:rsidRPr="003F56FA">
        <w:rPr>
          <w:lang w:val="en-US"/>
        </w:rPr>
        <w:t xml:space="preserve"> </w:t>
      </w:r>
    </w:p>
  </w:footnote>
  <w:footnote w:id="23">
    <w:p w14:paraId="79D2EB95" w14:textId="057E2F28" w:rsidR="00835F8D" w:rsidRPr="00340E7C" w:rsidRDefault="00835F8D" w:rsidP="00835F8D">
      <w:pPr>
        <w:pStyle w:val="Alaviitteenteksti"/>
        <w:rPr>
          <w:lang w:val="en-US"/>
        </w:rPr>
      </w:pPr>
      <w:r w:rsidRPr="00340E7C">
        <w:rPr>
          <w:rStyle w:val="Alaviitteenviite"/>
        </w:rPr>
        <w:footnoteRef/>
      </w:r>
      <w:r w:rsidR="00340E7C" w:rsidRPr="00340E7C">
        <w:rPr>
          <w:szCs w:val="22"/>
          <w:lang w:val="en-US"/>
        </w:rPr>
        <w:t xml:space="preserve"> Freedom House 2025.</w:t>
      </w:r>
    </w:p>
  </w:footnote>
  <w:footnote w:id="24">
    <w:p w14:paraId="3F82B19B" w14:textId="589C42CE" w:rsidR="00EB6698" w:rsidRPr="000263D7" w:rsidRDefault="00EB6698" w:rsidP="00EB6698">
      <w:pPr>
        <w:pStyle w:val="Alaviitteenteksti"/>
        <w:rPr>
          <w:color w:val="0563C1" w:themeColor="hyperlink"/>
          <w:u w:val="single"/>
          <w:lang w:val="en-US"/>
        </w:rPr>
      </w:pPr>
      <w:r>
        <w:rPr>
          <w:rStyle w:val="Alaviitteenviite"/>
        </w:rPr>
        <w:footnoteRef/>
      </w:r>
      <w:r w:rsidRPr="00EB6698">
        <w:rPr>
          <w:lang w:val="en-US"/>
        </w:rPr>
        <w:t xml:space="preserve"> </w:t>
      </w:r>
      <w:r w:rsidR="000263D7" w:rsidRPr="000263D7">
        <w:rPr>
          <w:lang w:val="en-US"/>
        </w:rPr>
        <w:t>H</w:t>
      </w:r>
      <w:r w:rsidR="000263D7">
        <w:rPr>
          <w:lang w:val="en-US"/>
        </w:rPr>
        <w:t>RRC 4.6.2025;</w:t>
      </w:r>
      <w:r w:rsidR="000263D7">
        <w:rPr>
          <w:rStyle w:val="Hyperlinkki"/>
          <w:lang w:val="en-US"/>
        </w:rPr>
        <w:t xml:space="preserve"> </w:t>
      </w:r>
      <w:r w:rsidR="00340E7C" w:rsidRPr="00340E7C">
        <w:rPr>
          <w:lang w:val="en-US"/>
        </w:rPr>
        <w:t xml:space="preserve">Etyj 24.2.2026, s. </w:t>
      </w:r>
      <w:r w:rsidR="00340E7C">
        <w:rPr>
          <w:lang w:val="en-US"/>
        </w:rPr>
        <w:t>43.</w:t>
      </w:r>
    </w:p>
  </w:footnote>
  <w:footnote w:id="25">
    <w:p w14:paraId="3B03764F" w14:textId="1F24C398" w:rsidR="00EB6698" w:rsidRPr="00D03766" w:rsidRDefault="0015077E" w:rsidP="0015077E">
      <w:pPr>
        <w:pStyle w:val="Alaviitteenteksti"/>
        <w:rPr>
          <w:color w:val="0563C1" w:themeColor="hyperlink"/>
          <w:u w:val="single"/>
        </w:rPr>
      </w:pPr>
      <w:r>
        <w:rPr>
          <w:rStyle w:val="Alaviitteenviite"/>
        </w:rPr>
        <w:footnoteRef/>
      </w:r>
      <w:r w:rsidRPr="00D03766">
        <w:t xml:space="preserve"> </w:t>
      </w:r>
      <w:r w:rsidR="00340E7C" w:rsidRPr="00D03766">
        <w:t>Etyj 24.2.2026, s. 43.</w:t>
      </w:r>
    </w:p>
  </w:footnote>
  <w:footnote w:id="26">
    <w:p w14:paraId="5F91A201" w14:textId="6A74E4DE" w:rsidR="004A7880" w:rsidRPr="000263D7" w:rsidRDefault="004A7880" w:rsidP="004A7880">
      <w:pPr>
        <w:pStyle w:val="Alaviitteenteksti"/>
      </w:pPr>
      <w:r>
        <w:rPr>
          <w:rStyle w:val="Alaviitteenviite"/>
        </w:rPr>
        <w:footnoteRef/>
      </w:r>
      <w:r w:rsidR="000263D7" w:rsidRPr="000263D7">
        <w:t xml:space="preserve"> HRW 2026.</w:t>
      </w:r>
    </w:p>
  </w:footnote>
  <w:footnote w:id="27">
    <w:p w14:paraId="0569642A" w14:textId="65E3A988" w:rsidR="005429C0" w:rsidRPr="000263D7" w:rsidRDefault="005429C0">
      <w:pPr>
        <w:pStyle w:val="Alaviitteenteksti"/>
      </w:pPr>
      <w:r>
        <w:rPr>
          <w:rStyle w:val="Alaviitteenviite"/>
        </w:rPr>
        <w:footnoteRef/>
      </w:r>
      <w:r w:rsidRPr="000263D7">
        <w:t xml:space="preserve"> </w:t>
      </w:r>
      <w:r w:rsidR="00340E7C" w:rsidRPr="00340E7C">
        <w:t>Euroopan komissio 4.11.2025, s. 4, 20.</w:t>
      </w:r>
    </w:p>
  </w:footnote>
  <w:footnote w:id="28">
    <w:p w14:paraId="4B144A6A" w14:textId="020D277E" w:rsidR="005429C0" w:rsidRPr="000263D7" w:rsidRDefault="005429C0" w:rsidP="005429C0">
      <w:pPr>
        <w:pStyle w:val="Alaviitteenteksti"/>
      </w:pPr>
      <w:r>
        <w:rPr>
          <w:rStyle w:val="Alaviitteenviite"/>
        </w:rPr>
        <w:footnoteRef/>
      </w:r>
      <w:r w:rsidRPr="000263D7">
        <w:t xml:space="preserve"> </w:t>
      </w:r>
      <w:r w:rsidR="000263D7">
        <w:t>HRW 4.12.2025.</w:t>
      </w:r>
    </w:p>
  </w:footnote>
  <w:footnote w:id="29">
    <w:p w14:paraId="5E60090F" w14:textId="589A3003" w:rsidR="009C30F9" w:rsidRPr="00340E7C" w:rsidRDefault="009C30F9">
      <w:pPr>
        <w:pStyle w:val="Alaviitteenteksti"/>
      </w:pPr>
      <w:r>
        <w:rPr>
          <w:rStyle w:val="Alaviitteenviite"/>
        </w:rPr>
        <w:footnoteRef/>
      </w:r>
      <w:r w:rsidRPr="00340E7C">
        <w:t xml:space="preserve"> </w:t>
      </w:r>
      <w:r w:rsidR="00340E7C" w:rsidRPr="00340E7C">
        <w:t xml:space="preserve">Etyj 24.2.2026, s. </w:t>
      </w:r>
      <w:r w:rsidR="00340E7C">
        <w:t>43</w:t>
      </w:r>
      <w:r w:rsidR="00340E7C" w:rsidRPr="00340E7C">
        <w:t>–</w:t>
      </w:r>
      <w:r w:rsidR="00340E7C">
        <w:t>48</w:t>
      </w:r>
      <w:r w:rsidR="00340E7C" w:rsidRPr="00340E7C">
        <w:t>.</w:t>
      </w:r>
    </w:p>
  </w:footnote>
  <w:footnote w:id="30">
    <w:p w14:paraId="4D8F3AA9" w14:textId="270DF565" w:rsidR="009D03DC" w:rsidRPr="00340E7C" w:rsidRDefault="009D03DC" w:rsidP="009D03DC">
      <w:pPr>
        <w:pStyle w:val="Alaviitteenteksti"/>
      </w:pPr>
      <w:r>
        <w:rPr>
          <w:rStyle w:val="Alaviitteenviite"/>
        </w:rPr>
        <w:footnoteRef/>
      </w:r>
      <w:r w:rsidRPr="00340E7C">
        <w:t xml:space="preserve"> </w:t>
      </w:r>
      <w:r w:rsidR="000263D7" w:rsidRPr="000263D7">
        <w:t>Maahanmuuttovirasto / Maatietopalvelu 23.5.2025</w:t>
      </w:r>
      <w:r w:rsidR="000263D7">
        <w:t>.</w:t>
      </w:r>
    </w:p>
  </w:footnote>
  <w:footnote w:id="31">
    <w:p w14:paraId="512D1EF9" w14:textId="3696E7CB" w:rsidR="00EB4404" w:rsidRPr="00340E7C" w:rsidRDefault="00EB4404" w:rsidP="00EB4404">
      <w:pPr>
        <w:pStyle w:val="Alaviitteenteksti"/>
      </w:pPr>
      <w:r>
        <w:rPr>
          <w:rStyle w:val="Alaviitteenviite"/>
        </w:rPr>
        <w:footnoteRef/>
      </w:r>
      <w:r w:rsidRPr="00340E7C">
        <w:t xml:space="preserve"> </w:t>
      </w:r>
      <w:r w:rsidR="00340E7C" w:rsidRPr="00340E7C">
        <w:t>Euroopan komissio 4.11.2025, s. 20.</w:t>
      </w:r>
    </w:p>
  </w:footnote>
  <w:footnote w:id="32">
    <w:p w14:paraId="043F5ABF" w14:textId="4D2A8E2C" w:rsidR="00340E7C" w:rsidRPr="00340E7C" w:rsidRDefault="00D64B72">
      <w:pPr>
        <w:pStyle w:val="Alaviitteenteksti"/>
      </w:pPr>
      <w:r>
        <w:rPr>
          <w:rStyle w:val="Alaviitteenviite"/>
        </w:rPr>
        <w:footnoteRef/>
      </w:r>
      <w:r w:rsidR="00340E7C">
        <w:t xml:space="preserve"> </w:t>
      </w:r>
      <w:r w:rsidR="00340E7C" w:rsidRPr="00340E7C">
        <w:t xml:space="preserve">Etyj 24.2.2026, s. </w:t>
      </w:r>
      <w:r w:rsidR="00340E7C">
        <w:t>53</w:t>
      </w:r>
      <w:r w:rsidR="00340E7C" w:rsidRPr="00340E7C">
        <w:t>–</w:t>
      </w:r>
      <w:r w:rsidR="00340E7C">
        <w:t>5</w:t>
      </w:r>
      <w:r w:rsidR="00340E7C" w:rsidRPr="00340E7C">
        <w:t>6.</w:t>
      </w:r>
    </w:p>
  </w:footnote>
  <w:footnote w:id="33">
    <w:p w14:paraId="3BA5E4D9" w14:textId="2C03B667" w:rsidR="00340E7C" w:rsidRPr="00340E7C" w:rsidRDefault="00146694" w:rsidP="00146694">
      <w:pPr>
        <w:pStyle w:val="Alaviitteenteksti"/>
        <w:rPr>
          <w:szCs w:val="22"/>
        </w:rPr>
      </w:pPr>
      <w:r>
        <w:rPr>
          <w:rStyle w:val="Alaviitteenviite"/>
        </w:rPr>
        <w:footnoteRef/>
      </w:r>
      <w:r w:rsidRPr="00340E7C">
        <w:t xml:space="preserve"> </w:t>
      </w:r>
      <w:r w:rsidR="00340E7C" w:rsidRPr="00340E7C">
        <w:t>Euroopan komissio 4.11.2025, s. 3–4, 20</w:t>
      </w:r>
      <w:r w:rsidR="00340E7C">
        <w:t xml:space="preserve">; </w:t>
      </w:r>
      <w:r w:rsidR="00340E7C" w:rsidRPr="00340E7C">
        <w:t xml:space="preserve">Etyj 24.2.2026, s. </w:t>
      </w:r>
      <w:r w:rsidR="00340E7C">
        <w:t>56</w:t>
      </w:r>
      <w:r w:rsidR="00340E7C" w:rsidRPr="00340E7C">
        <w:t>–</w:t>
      </w:r>
      <w:r w:rsidR="00340E7C">
        <w:t>57</w:t>
      </w:r>
      <w:r w:rsidR="00340E7C" w:rsidRPr="00340E7C">
        <w:t>.</w:t>
      </w:r>
    </w:p>
  </w:footnote>
  <w:footnote w:id="34">
    <w:p w14:paraId="4829DE4A" w14:textId="213029A8" w:rsidR="00340E7C" w:rsidRPr="00340E7C" w:rsidRDefault="00A44FD3">
      <w:pPr>
        <w:pStyle w:val="Alaviitteenteksti"/>
      </w:pPr>
      <w:r>
        <w:rPr>
          <w:rStyle w:val="Alaviitteenviite"/>
        </w:rPr>
        <w:footnoteRef/>
      </w:r>
      <w:r w:rsidR="00340E7C" w:rsidRPr="00340E7C">
        <w:t xml:space="preserve"> Etyj 24.2.2026, s. 59.</w:t>
      </w:r>
    </w:p>
  </w:footnote>
  <w:footnote w:id="35">
    <w:p w14:paraId="37C7CBA4" w14:textId="47E6487A" w:rsidR="00EB4404" w:rsidRPr="00D03766" w:rsidRDefault="00EB4404" w:rsidP="00EB4404">
      <w:pPr>
        <w:pStyle w:val="Alaviitteenteksti"/>
      </w:pPr>
      <w:r>
        <w:rPr>
          <w:rStyle w:val="Alaviitteenviite"/>
        </w:rPr>
        <w:footnoteRef/>
      </w:r>
      <w:r w:rsidRPr="00D03766">
        <w:t xml:space="preserve"> </w:t>
      </w:r>
      <w:r w:rsidR="00340E7C" w:rsidRPr="00340E7C">
        <w:t>Euroopan komissio 4.11.2025, s. 3–4, 20.</w:t>
      </w:r>
    </w:p>
  </w:footnote>
  <w:footnote w:id="36">
    <w:p w14:paraId="68AB575F" w14:textId="42F56B9E" w:rsidR="00A44FD3" w:rsidRPr="00D03766" w:rsidRDefault="00A44FD3">
      <w:pPr>
        <w:pStyle w:val="Alaviitteenteksti"/>
      </w:pPr>
      <w:r>
        <w:rPr>
          <w:rStyle w:val="Alaviitteenviite"/>
        </w:rPr>
        <w:footnoteRef/>
      </w:r>
      <w:r w:rsidRPr="00D03766">
        <w:t xml:space="preserve"> </w:t>
      </w:r>
      <w:r w:rsidR="00340E7C" w:rsidRPr="00340E7C">
        <w:t xml:space="preserve">Etyj 24.2.2026, s. </w:t>
      </w:r>
      <w:r w:rsidR="00340E7C">
        <w:t>57</w:t>
      </w:r>
      <w:r w:rsidR="00340E7C" w:rsidRPr="00340E7C">
        <w:t>–</w:t>
      </w:r>
      <w:r w:rsidR="00340E7C">
        <w:t>58</w:t>
      </w:r>
      <w:r w:rsidR="00340E7C" w:rsidRPr="00340E7C">
        <w:t>.</w:t>
      </w:r>
    </w:p>
  </w:footnote>
  <w:footnote w:id="37">
    <w:p w14:paraId="229D6ED3" w14:textId="7A8499C3" w:rsidR="009778BB" w:rsidRPr="00D03766" w:rsidRDefault="009778BB">
      <w:pPr>
        <w:pStyle w:val="Alaviitteenteksti"/>
      </w:pPr>
      <w:r>
        <w:rPr>
          <w:rStyle w:val="Alaviitteenviite"/>
        </w:rPr>
        <w:footnoteRef/>
      </w:r>
      <w:r w:rsidR="0069291D">
        <w:t xml:space="preserve"> </w:t>
      </w:r>
      <w:r w:rsidR="0069291D" w:rsidRPr="0069291D">
        <w:t xml:space="preserve">Titušky </w:t>
      </w:r>
      <w:r w:rsidRPr="009778BB">
        <w:t xml:space="preserve">(ukr. </w:t>
      </w:r>
      <w:r w:rsidR="0069291D" w:rsidRPr="0069291D">
        <w:t>тітушки</w:t>
      </w:r>
      <w:r w:rsidRPr="009778BB">
        <w:t xml:space="preserve">; transl. titušky) on ukrainankielinen, alun perin vuoden 2014 Ukrainan Maidanin aukion mielenosoitusten yhteydessä käytetty termi naamioituneista henkilöistä, jotka hyökkäävät oppositiopoliitikkojen, aktivistien ja toimittajien kimppuun mielenosoitusten aikana. </w:t>
      </w:r>
      <w:r w:rsidR="00EB5389">
        <w:t>(</w:t>
      </w:r>
      <w:r w:rsidRPr="00D03766">
        <w:t>Voice of America 11.12.2024; RFE/RL 4.12.2013</w:t>
      </w:r>
      <w:r w:rsidR="00EB5389" w:rsidRPr="00D03766">
        <w:t>).</w:t>
      </w:r>
    </w:p>
  </w:footnote>
  <w:footnote w:id="38">
    <w:p w14:paraId="7F8ACB71" w14:textId="18FE5EE0" w:rsidR="00EB5389" w:rsidRPr="00D03766" w:rsidRDefault="009778BB" w:rsidP="009778BB">
      <w:pPr>
        <w:pStyle w:val="Alaviitteenteksti"/>
        <w:rPr>
          <w:szCs w:val="22"/>
        </w:rPr>
      </w:pPr>
      <w:r>
        <w:rPr>
          <w:rStyle w:val="Alaviitteenviite"/>
        </w:rPr>
        <w:footnoteRef/>
      </w:r>
      <w:r w:rsidRPr="00D03766">
        <w:t xml:space="preserve"> </w:t>
      </w:r>
      <w:r w:rsidR="00EB5389" w:rsidRPr="00D03766">
        <w:t xml:space="preserve">Office for Foreigners 17.10.2025, s. 5–8. </w:t>
      </w:r>
      <w:r w:rsidR="00EB5389" w:rsidRPr="00EB5389">
        <w:t xml:space="preserve">Puolankielinen teksti on käännetty käännöskoneen </w:t>
      </w:r>
      <w:r w:rsidR="00EB5389">
        <w:t>avulla.</w:t>
      </w:r>
    </w:p>
  </w:footnote>
  <w:footnote w:id="39">
    <w:p w14:paraId="03B0F39C" w14:textId="6466652F" w:rsidR="009778BB" w:rsidRPr="00D10235" w:rsidRDefault="009778BB" w:rsidP="009778BB">
      <w:pPr>
        <w:pStyle w:val="Alaviitteenteksti"/>
        <w:rPr>
          <w:lang w:val="en-US"/>
        </w:rPr>
      </w:pPr>
      <w:r>
        <w:rPr>
          <w:rStyle w:val="Alaviitteenviite"/>
        </w:rPr>
        <w:footnoteRef/>
      </w:r>
      <w:r w:rsidRPr="00D10235">
        <w:rPr>
          <w:lang w:val="en-US"/>
        </w:rPr>
        <w:t xml:space="preserve"> </w:t>
      </w:r>
      <w:r w:rsidR="00EB5389" w:rsidRPr="00EB5389">
        <w:rPr>
          <w:lang w:val="en-US"/>
        </w:rPr>
        <w:t>Freedom House 2025.</w:t>
      </w:r>
    </w:p>
  </w:footnote>
  <w:footnote w:id="40">
    <w:p w14:paraId="3AB35142" w14:textId="53903F4E" w:rsidR="005D65B2" w:rsidRDefault="005D65B2" w:rsidP="005D65B2">
      <w:pPr>
        <w:pStyle w:val="Alaviitteenteksti"/>
        <w:rPr>
          <w:lang w:val="en-US"/>
        </w:rPr>
      </w:pPr>
      <w:r>
        <w:rPr>
          <w:rStyle w:val="Alaviitteenviite"/>
        </w:rPr>
        <w:footnoteRef/>
      </w:r>
      <w:r>
        <w:rPr>
          <w:lang w:val="en-US"/>
        </w:rPr>
        <w:t xml:space="preserve"> </w:t>
      </w:r>
      <w:r w:rsidRPr="00EB5389">
        <w:rPr>
          <w:szCs w:val="22"/>
          <w:lang w:val="en-US"/>
        </w:rPr>
        <w:t xml:space="preserve">USDOS </w:t>
      </w:r>
      <w:r w:rsidR="00EB5389">
        <w:rPr>
          <w:szCs w:val="22"/>
          <w:lang w:val="en-US"/>
        </w:rPr>
        <w:t>8/2025.</w:t>
      </w:r>
    </w:p>
  </w:footnote>
  <w:footnote w:id="41">
    <w:p w14:paraId="4250E4FB" w14:textId="40E36A09" w:rsidR="00340E7C" w:rsidRPr="009C30F9" w:rsidRDefault="00416C98" w:rsidP="00416C98">
      <w:pPr>
        <w:pStyle w:val="Alaviitteenteksti"/>
        <w:rPr>
          <w:lang w:val="en-US"/>
        </w:rPr>
      </w:pPr>
      <w:r>
        <w:rPr>
          <w:rStyle w:val="Alaviitteenviite"/>
        </w:rPr>
        <w:footnoteRef/>
      </w:r>
      <w:r w:rsidR="00340E7C">
        <w:rPr>
          <w:lang w:val="en-US"/>
        </w:rPr>
        <w:t xml:space="preserve"> </w:t>
      </w:r>
      <w:r w:rsidR="00340E7C" w:rsidRPr="00340E7C">
        <w:rPr>
          <w:lang w:val="en-US"/>
        </w:rPr>
        <w:t xml:space="preserve">Etyj 24.2.2026, s. </w:t>
      </w:r>
      <w:r w:rsidR="00340E7C">
        <w:rPr>
          <w:lang w:val="en-US"/>
        </w:rPr>
        <w:t>43</w:t>
      </w:r>
      <w:r w:rsidR="00340E7C" w:rsidRPr="00340E7C">
        <w:rPr>
          <w:lang w:val="en-US"/>
        </w:rPr>
        <w:t>–</w:t>
      </w:r>
      <w:r w:rsidR="00340E7C">
        <w:rPr>
          <w:lang w:val="en-US"/>
        </w:rPr>
        <w:t>48</w:t>
      </w:r>
      <w:r w:rsidR="00340E7C" w:rsidRPr="00340E7C">
        <w:rPr>
          <w:lang w:val="en-US"/>
        </w:rPr>
        <w:t>.</w:t>
      </w:r>
    </w:p>
  </w:footnote>
  <w:footnote w:id="42">
    <w:p w14:paraId="066EB96F" w14:textId="3919E737" w:rsidR="00403322" w:rsidRPr="00D03766" w:rsidRDefault="00403322">
      <w:pPr>
        <w:pStyle w:val="Alaviitteenteksti"/>
        <w:rPr>
          <w:lang w:val="sv-SE"/>
        </w:rPr>
      </w:pPr>
      <w:r>
        <w:rPr>
          <w:rStyle w:val="Alaviitteenviite"/>
        </w:rPr>
        <w:footnoteRef/>
      </w:r>
      <w:r w:rsidRPr="00D03766">
        <w:rPr>
          <w:lang w:val="sv-SE"/>
        </w:rPr>
        <w:t xml:space="preserve"> </w:t>
      </w:r>
      <w:r w:rsidR="00D45758" w:rsidRPr="00D03766">
        <w:rPr>
          <w:lang w:val="sv-SE"/>
        </w:rPr>
        <w:t xml:space="preserve">GYLA 10.12.2025, s. </w:t>
      </w:r>
      <w:r w:rsidRPr="00D03766">
        <w:rPr>
          <w:lang w:val="sv-SE"/>
        </w:rPr>
        <w:t>3</w:t>
      </w:r>
      <w:r w:rsidR="00D45758" w:rsidRPr="00D03766">
        <w:rPr>
          <w:lang w:val="sv-SE"/>
        </w:rPr>
        <w:t>1.</w:t>
      </w:r>
    </w:p>
  </w:footnote>
  <w:footnote w:id="43">
    <w:p w14:paraId="507EEA50" w14:textId="573B6C35" w:rsidR="0079756E" w:rsidRPr="00D03766" w:rsidRDefault="0079756E">
      <w:pPr>
        <w:pStyle w:val="Alaviitteenteksti"/>
        <w:rPr>
          <w:lang w:val="sv-SE"/>
        </w:rPr>
      </w:pPr>
      <w:r>
        <w:rPr>
          <w:rStyle w:val="Alaviitteenviite"/>
        </w:rPr>
        <w:footnoteRef/>
      </w:r>
      <w:r w:rsidRPr="00D03766">
        <w:rPr>
          <w:lang w:val="sv-SE"/>
        </w:rPr>
        <w:t xml:space="preserve"> </w:t>
      </w:r>
      <w:r w:rsidR="00340E7C" w:rsidRPr="00D03766">
        <w:rPr>
          <w:lang w:val="sv-SE"/>
        </w:rPr>
        <w:t>Etyj 24.2.2026, s. 63–64.</w:t>
      </w:r>
    </w:p>
  </w:footnote>
  <w:footnote w:id="44">
    <w:p w14:paraId="1D11B864" w14:textId="45EF8924" w:rsidR="00EB5389" w:rsidRPr="00D03766" w:rsidRDefault="005B2120">
      <w:pPr>
        <w:pStyle w:val="Alaviitteenteksti"/>
        <w:rPr>
          <w:lang w:val="sv-SE"/>
        </w:rPr>
      </w:pPr>
      <w:r>
        <w:rPr>
          <w:rStyle w:val="Alaviitteenviite"/>
        </w:rPr>
        <w:footnoteRef/>
      </w:r>
      <w:r w:rsidR="00EB5389" w:rsidRPr="00D03766">
        <w:rPr>
          <w:lang w:val="sv-SE"/>
        </w:rPr>
        <w:t xml:space="preserve"> OMCT &amp; FIDH 11/2025, s. 9, 16.</w:t>
      </w:r>
    </w:p>
  </w:footnote>
  <w:footnote w:id="45">
    <w:p w14:paraId="0A102349" w14:textId="0B04DA17" w:rsidR="006D1E23" w:rsidRPr="007F68D2" w:rsidRDefault="006D1E23" w:rsidP="006D1E23">
      <w:pPr>
        <w:pStyle w:val="Alaviitteenteksti"/>
        <w:rPr>
          <w:lang w:val="en-US"/>
        </w:rPr>
      </w:pPr>
      <w:r>
        <w:rPr>
          <w:rStyle w:val="Alaviitteenviite"/>
        </w:rPr>
        <w:footnoteRef/>
      </w:r>
      <w:r w:rsidRPr="007F68D2">
        <w:rPr>
          <w:lang w:val="en-US"/>
        </w:rPr>
        <w:t xml:space="preserve"> </w:t>
      </w:r>
      <w:r w:rsidR="00EB5389" w:rsidRPr="00EB5389">
        <w:rPr>
          <w:lang w:val="en-US"/>
        </w:rPr>
        <w:t>Freedom House 2025.</w:t>
      </w:r>
    </w:p>
  </w:footnote>
  <w:footnote w:id="46">
    <w:p w14:paraId="42F8D4E8" w14:textId="0B68BFA8" w:rsidR="00DE4B98" w:rsidRPr="00DE4B98" w:rsidRDefault="00DE4B98">
      <w:pPr>
        <w:pStyle w:val="Alaviitteenteksti"/>
        <w:rPr>
          <w:lang w:val="en-US"/>
        </w:rPr>
      </w:pPr>
      <w:r>
        <w:rPr>
          <w:rStyle w:val="Alaviitteenviite"/>
        </w:rPr>
        <w:footnoteRef/>
      </w:r>
      <w:r w:rsidRPr="00DE4B98">
        <w:rPr>
          <w:lang w:val="en-US"/>
        </w:rPr>
        <w:t xml:space="preserve"> </w:t>
      </w:r>
      <w:r w:rsidR="00D45758" w:rsidRPr="00D45758">
        <w:rPr>
          <w:lang w:val="en-US"/>
        </w:rPr>
        <w:t>GYLA 10.12.2025</w:t>
      </w:r>
      <w:r w:rsidR="00D45758">
        <w:rPr>
          <w:lang w:val="en-US"/>
        </w:rPr>
        <w:t>, s. 20.</w:t>
      </w:r>
    </w:p>
  </w:footnote>
  <w:footnote w:id="47">
    <w:p w14:paraId="3972D9AB" w14:textId="13A072A4" w:rsidR="00E40C43" w:rsidRPr="00D45758" w:rsidRDefault="00E40C43" w:rsidP="00E40C43">
      <w:pPr>
        <w:pStyle w:val="Alaviitteenteksti"/>
        <w:rPr>
          <w:lang w:val="en-US"/>
        </w:rPr>
      </w:pPr>
      <w:r>
        <w:rPr>
          <w:rStyle w:val="Alaviitteenviite"/>
        </w:rPr>
        <w:footnoteRef/>
      </w:r>
      <w:r w:rsidRPr="00E40C43">
        <w:rPr>
          <w:lang w:val="en-US"/>
        </w:rPr>
        <w:t xml:space="preserve"> </w:t>
      </w:r>
      <w:r w:rsidR="00D45758" w:rsidRPr="00D45758">
        <w:rPr>
          <w:lang w:val="en-US"/>
        </w:rPr>
        <w:t>H</w:t>
      </w:r>
      <w:r w:rsidR="00D45758">
        <w:rPr>
          <w:lang w:val="en-US"/>
        </w:rPr>
        <w:t>RC 2025, s. 4.</w:t>
      </w:r>
    </w:p>
  </w:footnote>
  <w:footnote w:id="48">
    <w:p w14:paraId="01C74E50" w14:textId="2DE28C14" w:rsidR="00E40C43" w:rsidRPr="00DD2ADE" w:rsidRDefault="00E40C43">
      <w:pPr>
        <w:pStyle w:val="Alaviitteenteksti"/>
      </w:pPr>
      <w:r>
        <w:rPr>
          <w:rStyle w:val="Alaviitteenviite"/>
        </w:rPr>
        <w:footnoteRef/>
      </w:r>
      <w:r w:rsidRPr="00DD2ADE">
        <w:t xml:space="preserve"> </w:t>
      </w:r>
      <w:r w:rsidR="00EB5389" w:rsidRPr="00DD2ADE">
        <w:t>Freedom House 2025.</w:t>
      </w:r>
    </w:p>
  </w:footnote>
  <w:footnote w:id="49">
    <w:p w14:paraId="4139E16F" w14:textId="442FE1C4" w:rsidR="00D45758" w:rsidRPr="00DD2ADE" w:rsidRDefault="00D45758">
      <w:pPr>
        <w:pStyle w:val="Alaviitteenteksti"/>
      </w:pPr>
      <w:r>
        <w:rPr>
          <w:rStyle w:val="Alaviitteenviite"/>
        </w:rPr>
        <w:footnoteRef/>
      </w:r>
      <w:r w:rsidRPr="00DD2ADE">
        <w:t xml:space="preserve"> Euroopan komissio 4.11.2025, s. 19, 40.</w:t>
      </w:r>
    </w:p>
  </w:footnote>
  <w:footnote w:id="50">
    <w:p w14:paraId="3FF7BA6D" w14:textId="2112C883" w:rsidR="00E840BB" w:rsidRPr="00DD2ADE" w:rsidRDefault="00E840BB" w:rsidP="00E840BB">
      <w:pPr>
        <w:pStyle w:val="Alaviitteenteksti"/>
      </w:pPr>
      <w:r>
        <w:rPr>
          <w:rStyle w:val="Alaviitteenviite"/>
        </w:rPr>
        <w:footnoteRef/>
      </w:r>
      <w:r w:rsidRPr="00DD2ADE">
        <w:t xml:space="preserve"> </w:t>
      </w:r>
      <w:r w:rsidR="00340E7C" w:rsidRPr="00DD2ADE">
        <w:t>Etyj 24.2.2026, s. 77.</w:t>
      </w:r>
    </w:p>
  </w:footnote>
  <w:footnote w:id="51">
    <w:p w14:paraId="1EFB50D8" w14:textId="48674BAE" w:rsidR="000B22E2" w:rsidRDefault="000B22E2">
      <w:pPr>
        <w:pStyle w:val="Alaviitteenteksti"/>
      </w:pPr>
      <w:r>
        <w:rPr>
          <w:rStyle w:val="Alaviitteenviite"/>
        </w:rPr>
        <w:footnoteRef/>
      </w:r>
      <w:r>
        <w:t xml:space="preserve"> Maahanmuuttovirasto / Maatietopalvelu 7.5.2025. </w:t>
      </w:r>
    </w:p>
  </w:footnote>
  <w:footnote w:id="52">
    <w:p w14:paraId="22782937" w14:textId="373D4D9E" w:rsidR="00E40C43" w:rsidRPr="00DD2ADE" w:rsidRDefault="00E40C43">
      <w:pPr>
        <w:pStyle w:val="Alaviitteenteksti"/>
      </w:pPr>
      <w:r>
        <w:rPr>
          <w:rStyle w:val="Alaviitteenviite"/>
        </w:rPr>
        <w:footnoteRef/>
      </w:r>
      <w:r w:rsidRPr="00DD2ADE">
        <w:t xml:space="preserve"> </w:t>
      </w:r>
      <w:r w:rsidR="009C3D95" w:rsidRPr="00DD2ADE">
        <w:t>HRC 2025, s. 26</w:t>
      </w:r>
      <w:r w:rsidR="009C3D95">
        <w:t xml:space="preserve">; </w:t>
      </w:r>
      <w:r w:rsidR="00EB5389" w:rsidRPr="00DD2ADE">
        <w:t>Freedom House 2025.</w:t>
      </w:r>
    </w:p>
  </w:footnote>
  <w:footnote w:id="53">
    <w:p w14:paraId="30250D45" w14:textId="15D35ED2" w:rsidR="00E40C43" w:rsidRPr="00340E7C" w:rsidRDefault="00E40C43" w:rsidP="00E40C43">
      <w:pPr>
        <w:pStyle w:val="Alaviitteenteksti"/>
      </w:pPr>
      <w:r>
        <w:rPr>
          <w:rStyle w:val="Alaviitteenviite"/>
        </w:rPr>
        <w:footnoteRef/>
      </w:r>
      <w:r w:rsidRPr="00340E7C">
        <w:t xml:space="preserve"> </w:t>
      </w:r>
      <w:r w:rsidR="00340E7C" w:rsidRPr="00340E7C">
        <w:t>Euroopan komissio 4.11.2025, s. 19–20.</w:t>
      </w:r>
    </w:p>
  </w:footnote>
  <w:footnote w:id="54">
    <w:p w14:paraId="7D8288B7" w14:textId="55E3DD71" w:rsidR="00D84621" w:rsidRPr="00340E7C" w:rsidRDefault="00D84621" w:rsidP="00D84621">
      <w:pPr>
        <w:pStyle w:val="Alaviitteenteksti"/>
      </w:pPr>
      <w:r>
        <w:rPr>
          <w:rStyle w:val="Alaviitteenviite"/>
        </w:rPr>
        <w:footnoteRef/>
      </w:r>
      <w:r w:rsidRPr="00340E7C">
        <w:t xml:space="preserve"> </w:t>
      </w:r>
      <w:r w:rsidR="00340E7C" w:rsidRPr="00340E7C">
        <w:t xml:space="preserve">Euroopan komissio 4.11.2025, s. </w:t>
      </w:r>
      <w:r w:rsidR="00340E7C">
        <w:t>28.</w:t>
      </w:r>
    </w:p>
  </w:footnote>
  <w:footnote w:id="55">
    <w:p w14:paraId="2B4DD418" w14:textId="6AEF2990" w:rsidR="007F68D2" w:rsidRPr="00D03766" w:rsidRDefault="007F68D2">
      <w:pPr>
        <w:pStyle w:val="Alaviitteenteksti"/>
        <w:rPr>
          <w:lang w:val="en-US"/>
        </w:rPr>
      </w:pPr>
      <w:r>
        <w:rPr>
          <w:rStyle w:val="Alaviitteenviite"/>
        </w:rPr>
        <w:footnoteRef/>
      </w:r>
      <w:r w:rsidRPr="00D03766">
        <w:rPr>
          <w:lang w:val="en-US"/>
        </w:rPr>
        <w:t xml:space="preserve"> </w:t>
      </w:r>
      <w:r w:rsidR="00EB5389" w:rsidRPr="00D03766">
        <w:rPr>
          <w:lang w:val="en-US"/>
        </w:rPr>
        <w:t>Freedom House 2025.</w:t>
      </w:r>
    </w:p>
  </w:footnote>
  <w:footnote w:id="56">
    <w:p w14:paraId="045198C8" w14:textId="7E4263BC" w:rsidR="000E4D8B" w:rsidRPr="000E4D8B" w:rsidRDefault="000E4D8B">
      <w:pPr>
        <w:pStyle w:val="Alaviitteenteksti"/>
        <w:rPr>
          <w:lang w:val="en-US"/>
        </w:rPr>
      </w:pPr>
      <w:r>
        <w:rPr>
          <w:rStyle w:val="Alaviitteenviite"/>
        </w:rPr>
        <w:footnoteRef/>
      </w:r>
      <w:r w:rsidRPr="000E4D8B">
        <w:rPr>
          <w:lang w:val="en-US"/>
        </w:rPr>
        <w:t xml:space="preserve"> </w:t>
      </w:r>
      <w:r w:rsidR="00EB5389" w:rsidRPr="00EB5389">
        <w:rPr>
          <w:lang w:val="en-US"/>
        </w:rPr>
        <w:t>Global Initiative Against Transnational Organized Crime 8/2025, s. 25</w:t>
      </w:r>
      <w:r w:rsidR="00EB5389">
        <w:rPr>
          <w:lang w:val="en-US"/>
        </w:rPr>
        <w:t>.</w:t>
      </w:r>
    </w:p>
  </w:footnote>
  <w:footnote w:id="57">
    <w:p w14:paraId="46DCBF61" w14:textId="03309F9D" w:rsidR="007F68D2" w:rsidRPr="007F68D2" w:rsidRDefault="007F68D2" w:rsidP="007F68D2">
      <w:pPr>
        <w:pStyle w:val="Alaviitteenteksti"/>
        <w:rPr>
          <w:lang w:val="en-US"/>
        </w:rPr>
      </w:pPr>
      <w:r>
        <w:rPr>
          <w:rStyle w:val="Alaviitteenviite"/>
        </w:rPr>
        <w:footnoteRef/>
      </w:r>
      <w:r w:rsidRPr="007F68D2">
        <w:rPr>
          <w:lang w:val="en-US"/>
        </w:rPr>
        <w:t xml:space="preserve"> </w:t>
      </w:r>
      <w:r w:rsidR="00EB5389" w:rsidRPr="00EB5389">
        <w:rPr>
          <w:lang w:val="en-US"/>
        </w:rPr>
        <w:t>Freedom House 2025.</w:t>
      </w:r>
    </w:p>
  </w:footnote>
  <w:footnote w:id="58">
    <w:p w14:paraId="70C5BC15" w14:textId="07CD3C1E" w:rsidR="00D84621" w:rsidRPr="00D45758" w:rsidRDefault="00D84621" w:rsidP="00D84621">
      <w:pPr>
        <w:pStyle w:val="Alaviitteenteksti"/>
        <w:rPr>
          <w:lang w:val="en-US"/>
        </w:rPr>
      </w:pPr>
      <w:r>
        <w:rPr>
          <w:rStyle w:val="Alaviitteenviite"/>
        </w:rPr>
        <w:footnoteRef/>
      </w:r>
      <w:r w:rsidRPr="00D45758">
        <w:rPr>
          <w:lang w:val="en-US"/>
        </w:rPr>
        <w:t xml:space="preserve"> </w:t>
      </w:r>
      <w:r w:rsidR="00340E7C" w:rsidRPr="00D45758">
        <w:rPr>
          <w:lang w:val="en-US"/>
        </w:rPr>
        <w:t>Euroopan komissio 4.11.2025, s. 40.</w:t>
      </w:r>
    </w:p>
  </w:footnote>
  <w:footnote w:id="59">
    <w:p w14:paraId="4F279BE9" w14:textId="6AF0C07F" w:rsidR="00D45758" w:rsidRPr="00D45758" w:rsidRDefault="00D45758">
      <w:pPr>
        <w:pStyle w:val="Alaviitteenteksti"/>
        <w:rPr>
          <w:lang w:val="en-US"/>
        </w:rPr>
      </w:pPr>
      <w:r>
        <w:rPr>
          <w:rStyle w:val="Alaviitteenviite"/>
        </w:rPr>
        <w:footnoteRef/>
      </w:r>
      <w:r w:rsidRPr="00D45758">
        <w:rPr>
          <w:lang w:val="en-US"/>
        </w:rPr>
        <w:t xml:space="preserve"> Etyj 24.2.2026, s. 95–96.</w:t>
      </w:r>
    </w:p>
  </w:footnote>
  <w:footnote w:id="60">
    <w:p w14:paraId="085C0EEB" w14:textId="1BC194E7" w:rsidR="00D45758" w:rsidRPr="00D45758" w:rsidRDefault="00D45758">
      <w:pPr>
        <w:pStyle w:val="Alaviitteenteksti"/>
        <w:rPr>
          <w:lang w:val="en-US"/>
        </w:rPr>
      </w:pPr>
      <w:r>
        <w:rPr>
          <w:rStyle w:val="Alaviitteenviite"/>
        </w:rPr>
        <w:footnoteRef/>
      </w:r>
      <w:r w:rsidRPr="00D45758">
        <w:rPr>
          <w:lang w:val="en-US"/>
        </w:rPr>
        <w:t xml:space="preserve"> HRC 2025, s. 25.</w:t>
      </w:r>
    </w:p>
  </w:footnote>
  <w:footnote w:id="61">
    <w:p w14:paraId="33F698C2" w14:textId="1742E779" w:rsidR="00D45758" w:rsidRPr="00D45758" w:rsidRDefault="00D45758">
      <w:pPr>
        <w:pStyle w:val="Alaviitteenteksti"/>
        <w:rPr>
          <w:lang w:val="en-US"/>
        </w:rPr>
      </w:pPr>
      <w:r>
        <w:rPr>
          <w:rStyle w:val="Alaviitteenviite"/>
        </w:rPr>
        <w:footnoteRef/>
      </w:r>
      <w:r w:rsidRPr="00D45758">
        <w:rPr>
          <w:lang w:val="en-US"/>
        </w:rPr>
        <w:t xml:space="preserve"> Etyj 24.2.2026, s. 94–95.</w:t>
      </w:r>
    </w:p>
  </w:footnote>
  <w:footnote w:id="62">
    <w:p w14:paraId="7157F46A" w14:textId="52955D97" w:rsidR="004E7807" w:rsidRPr="007F68D2" w:rsidRDefault="004E7807" w:rsidP="004E7807">
      <w:pPr>
        <w:pStyle w:val="Alaviitteenteksti"/>
        <w:rPr>
          <w:lang w:val="en-US"/>
        </w:rPr>
      </w:pPr>
      <w:r>
        <w:rPr>
          <w:rStyle w:val="Alaviitteenviite"/>
        </w:rPr>
        <w:footnoteRef/>
      </w:r>
      <w:r w:rsidRPr="007F68D2">
        <w:rPr>
          <w:lang w:val="en-US"/>
        </w:rPr>
        <w:t xml:space="preserve"> </w:t>
      </w:r>
      <w:r w:rsidR="00EB5389" w:rsidRPr="00EB5389">
        <w:rPr>
          <w:lang w:val="en-US"/>
        </w:rPr>
        <w:t>Freedom House 2025.</w:t>
      </w:r>
    </w:p>
  </w:footnote>
  <w:footnote w:id="63">
    <w:p w14:paraId="626458A2" w14:textId="7DE537F7" w:rsidR="00D45758" w:rsidRPr="00D03766" w:rsidRDefault="00D45758">
      <w:pPr>
        <w:pStyle w:val="Alaviitteenteksti"/>
      </w:pPr>
      <w:r>
        <w:rPr>
          <w:rStyle w:val="Alaviitteenviite"/>
        </w:rPr>
        <w:footnoteRef/>
      </w:r>
      <w:r w:rsidRPr="00D03766">
        <w:t xml:space="preserve"> Etyj 24.2.2026, s. 51, 64–66.</w:t>
      </w:r>
    </w:p>
  </w:footnote>
  <w:footnote w:id="64">
    <w:p w14:paraId="0F1E8FD9" w14:textId="169602C6" w:rsidR="00D45758" w:rsidRPr="00D03766" w:rsidRDefault="00D45758">
      <w:pPr>
        <w:pStyle w:val="Alaviitteenteksti"/>
      </w:pPr>
      <w:r>
        <w:rPr>
          <w:rStyle w:val="Alaviitteenviite"/>
        </w:rPr>
        <w:footnoteRef/>
      </w:r>
      <w:r w:rsidRPr="00D03766">
        <w:t xml:space="preserve"> Euroopan komissio 4.11.2025, s. 34.</w:t>
      </w:r>
    </w:p>
  </w:footnote>
  <w:footnote w:id="65">
    <w:p w14:paraId="2AB9AFE9" w14:textId="0F18CE51" w:rsidR="0009508D" w:rsidRPr="00D03766" w:rsidRDefault="0009508D" w:rsidP="0009508D">
      <w:pPr>
        <w:pStyle w:val="Alaviitteenteksti"/>
      </w:pPr>
      <w:r>
        <w:rPr>
          <w:rStyle w:val="Alaviitteenviite"/>
        </w:rPr>
        <w:footnoteRef/>
      </w:r>
      <w:r w:rsidRPr="00D03766">
        <w:t xml:space="preserve"> </w:t>
      </w:r>
      <w:r w:rsidR="00EB5389" w:rsidRPr="00D03766">
        <w:t>Freedom House 2025.</w:t>
      </w:r>
    </w:p>
  </w:footnote>
  <w:footnote w:id="66">
    <w:p w14:paraId="78C7FFDB" w14:textId="172469C1" w:rsidR="00D45758" w:rsidRDefault="00D45758">
      <w:pPr>
        <w:pStyle w:val="Alaviitteenteksti"/>
      </w:pPr>
      <w:r>
        <w:rPr>
          <w:rStyle w:val="Alaviitteenviite"/>
        </w:rPr>
        <w:footnoteRef/>
      </w:r>
      <w:r>
        <w:t xml:space="preserve"> </w:t>
      </w:r>
      <w:r w:rsidRPr="00D45758">
        <w:t>Euroopan komissio 4.11.2025, s. 19, 40.</w:t>
      </w:r>
    </w:p>
  </w:footnote>
  <w:footnote w:id="67">
    <w:p w14:paraId="21827B5E" w14:textId="544DBA76" w:rsidR="00DB5A98" w:rsidRPr="00340E7C" w:rsidRDefault="00DB5A98">
      <w:pPr>
        <w:pStyle w:val="Alaviitteenteksti"/>
      </w:pPr>
      <w:r>
        <w:rPr>
          <w:rStyle w:val="Alaviitteenviite"/>
        </w:rPr>
        <w:footnoteRef/>
      </w:r>
      <w:r w:rsidRPr="00340E7C">
        <w:t xml:space="preserve"> </w:t>
      </w:r>
      <w:r w:rsidR="00340E7C" w:rsidRPr="00340E7C">
        <w:t>Etyj 24.2.2026, s. 51, 50–51.</w:t>
      </w:r>
    </w:p>
  </w:footnote>
  <w:footnote w:id="68">
    <w:p w14:paraId="710F7D6A" w14:textId="4747A7AA" w:rsidR="00D45758" w:rsidRDefault="00D45758">
      <w:pPr>
        <w:pStyle w:val="Alaviitteenteksti"/>
      </w:pPr>
      <w:r>
        <w:rPr>
          <w:rStyle w:val="Alaviitteenviite"/>
        </w:rPr>
        <w:footnoteRef/>
      </w:r>
      <w:r>
        <w:t xml:space="preserve"> </w:t>
      </w:r>
      <w:r w:rsidRPr="00D45758">
        <w:t>Euroopan komissio 4.11.2025, s. 33</w:t>
      </w:r>
      <w:r>
        <w:t>–34.</w:t>
      </w:r>
    </w:p>
  </w:footnote>
  <w:footnote w:id="69">
    <w:p w14:paraId="4DE53C82" w14:textId="1D474121" w:rsidR="009778BB" w:rsidRPr="00D45758" w:rsidRDefault="009778BB">
      <w:pPr>
        <w:pStyle w:val="Alaviitteenteksti"/>
      </w:pPr>
      <w:r>
        <w:rPr>
          <w:rStyle w:val="Alaviitteenviite"/>
        </w:rPr>
        <w:footnoteRef/>
      </w:r>
      <w:r w:rsidRPr="00D45758">
        <w:t xml:space="preserve"> </w:t>
      </w:r>
      <w:r w:rsidR="00D45758">
        <w:t>Maahanmuuttovirasto / Maatietopalvelu 13.7.2023.</w:t>
      </w:r>
    </w:p>
  </w:footnote>
  <w:footnote w:id="70">
    <w:p w14:paraId="5F100CC5" w14:textId="5909545A" w:rsidR="009778BB" w:rsidRPr="00D45758" w:rsidRDefault="009778BB">
      <w:pPr>
        <w:pStyle w:val="Alaviitteenteksti"/>
      </w:pPr>
      <w:r>
        <w:rPr>
          <w:rStyle w:val="Alaviitteenviite"/>
        </w:rPr>
        <w:footnoteRef/>
      </w:r>
      <w:r w:rsidRPr="00D45758">
        <w:t xml:space="preserve"> </w:t>
      </w:r>
      <w:r w:rsidR="00D45758" w:rsidRPr="00D45758">
        <w:t>Maahanmuuttovirasto / Maatietopalvelu 23.5.2025</w:t>
      </w:r>
      <w:r w:rsidR="00D45758">
        <w:t>.</w:t>
      </w:r>
    </w:p>
  </w:footnote>
  <w:footnote w:id="71">
    <w:p w14:paraId="7E4BEFAB" w14:textId="3F1495F6" w:rsidR="00D45758" w:rsidRPr="00D45758" w:rsidRDefault="009D5EC8" w:rsidP="009D5EC8">
      <w:pPr>
        <w:pStyle w:val="Alaviitteenteksti"/>
      </w:pPr>
      <w:r>
        <w:rPr>
          <w:rStyle w:val="Alaviitteenviite"/>
        </w:rPr>
        <w:footnoteRef/>
      </w:r>
      <w:r w:rsidR="00D45758">
        <w:t xml:space="preserve"> </w:t>
      </w:r>
      <w:r w:rsidR="00D45758" w:rsidRPr="00D45758">
        <w:t xml:space="preserve">GYLA 10.12.2025, s. </w:t>
      </w:r>
      <w:r w:rsidR="00D45758">
        <w:t xml:space="preserve">6, 12, 15. </w:t>
      </w:r>
    </w:p>
  </w:footnote>
  <w:footnote w:id="72">
    <w:p w14:paraId="5B54117B" w14:textId="73F69339" w:rsidR="00E840BB" w:rsidRPr="00D03766" w:rsidRDefault="00E840BB">
      <w:pPr>
        <w:pStyle w:val="Alaviitteenteksti"/>
        <w:rPr>
          <w:lang w:val="en-US"/>
        </w:rPr>
      </w:pPr>
      <w:r>
        <w:rPr>
          <w:rStyle w:val="Alaviitteenviite"/>
        </w:rPr>
        <w:footnoteRef/>
      </w:r>
      <w:r w:rsidRPr="00D03766">
        <w:rPr>
          <w:lang w:val="en-US"/>
        </w:rPr>
        <w:t xml:space="preserve"> </w:t>
      </w:r>
      <w:r w:rsidR="000263D7" w:rsidRPr="00D03766">
        <w:rPr>
          <w:lang w:val="en-US"/>
        </w:rPr>
        <w:t>Etyj 24.2.2026, s. 51, 71, 74.</w:t>
      </w:r>
    </w:p>
  </w:footnote>
  <w:footnote w:id="73">
    <w:p w14:paraId="115E66B9" w14:textId="41FCEEC3" w:rsidR="00662017" w:rsidRPr="00662017" w:rsidRDefault="00662017">
      <w:pPr>
        <w:pStyle w:val="Alaviitteenteksti"/>
        <w:rPr>
          <w:lang w:val="en-US"/>
        </w:rPr>
      </w:pPr>
      <w:r>
        <w:rPr>
          <w:rStyle w:val="Alaviitteenviite"/>
        </w:rPr>
        <w:footnoteRef/>
      </w:r>
      <w:r w:rsidRPr="00662017">
        <w:rPr>
          <w:lang w:val="en-US"/>
        </w:rPr>
        <w:t xml:space="preserve"> </w:t>
      </w:r>
      <w:r w:rsidR="00D45758">
        <w:rPr>
          <w:lang w:val="en-US"/>
        </w:rPr>
        <w:t>HRW 4.12.2025.</w:t>
      </w:r>
    </w:p>
  </w:footnote>
  <w:footnote w:id="74">
    <w:p w14:paraId="79D0B866" w14:textId="06C2903A" w:rsidR="00662017" w:rsidRPr="00662017" w:rsidRDefault="00662017" w:rsidP="00662017">
      <w:pPr>
        <w:pStyle w:val="Alaviitteenteksti"/>
        <w:rPr>
          <w:lang w:val="en-US"/>
        </w:rPr>
      </w:pPr>
      <w:r>
        <w:rPr>
          <w:rStyle w:val="Alaviitteenviite"/>
        </w:rPr>
        <w:footnoteRef/>
      </w:r>
      <w:r w:rsidRPr="00662017">
        <w:rPr>
          <w:lang w:val="en-US"/>
        </w:rPr>
        <w:t xml:space="preserve"> </w:t>
      </w:r>
      <w:r w:rsidR="00D45758" w:rsidRPr="00D45758">
        <w:rPr>
          <w:lang w:val="en-US"/>
        </w:rPr>
        <w:t>HRW 4.12.2025.</w:t>
      </w:r>
    </w:p>
  </w:footnote>
  <w:footnote w:id="75">
    <w:p w14:paraId="458DCFEA" w14:textId="5DBAF426" w:rsidR="00662017" w:rsidRPr="00662017" w:rsidRDefault="00662017" w:rsidP="00662017">
      <w:pPr>
        <w:pStyle w:val="Alaviitteenteksti"/>
        <w:rPr>
          <w:lang w:val="en-US"/>
        </w:rPr>
      </w:pPr>
      <w:r>
        <w:rPr>
          <w:rStyle w:val="Alaviitteenviite"/>
        </w:rPr>
        <w:footnoteRef/>
      </w:r>
      <w:r w:rsidRPr="00662017">
        <w:rPr>
          <w:lang w:val="en-US"/>
        </w:rPr>
        <w:t xml:space="preserve"> </w:t>
      </w:r>
      <w:r w:rsidR="00D45758" w:rsidRPr="00D45758">
        <w:rPr>
          <w:lang w:val="en-US"/>
        </w:rPr>
        <w:t>HRW 4.12.2025.</w:t>
      </w:r>
    </w:p>
  </w:footnote>
  <w:footnote w:id="76">
    <w:p w14:paraId="7B00AC23" w14:textId="3B2DF6F8" w:rsidR="002351E0" w:rsidRPr="00D45758" w:rsidRDefault="002351E0" w:rsidP="002351E0">
      <w:pPr>
        <w:pStyle w:val="Alaviitteenteksti"/>
        <w:rPr>
          <w:lang w:val="en-US"/>
        </w:rPr>
      </w:pPr>
      <w:r>
        <w:rPr>
          <w:rStyle w:val="Alaviitteenviite"/>
        </w:rPr>
        <w:footnoteRef/>
      </w:r>
      <w:r w:rsidRPr="002940A0">
        <w:rPr>
          <w:lang w:val="en-US"/>
        </w:rPr>
        <w:t xml:space="preserve"> </w:t>
      </w:r>
      <w:r w:rsidR="00D45758" w:rsidRPr="00D45758">
        <w:rPr>
          <w:lang w:val="en-US"/>
        </w:rPr>
        <w:t>H</w:t>
      </w:r>
      <w:r w:rsidR="00D45758">
        <w:rPr>
          <w:lang w:val="en-US"/>
        </w:rPr>
        <w:t>RW 23.1.2026.</w:t>
      </w:r>
    </w:p>
  </w:footnote>
  <w:footnote w:id="77">
    <w:p w14:paraId="40A2FB3A" w14:textId="1FBC0BF4" w:rsidR="00B216A7" w:rsidRPr="00694AA1" w:rsidRDefault="00B216A7" w:rsidP="00B216A7">
      <w:pPr>
        <w:pStyle w:val="Alaviitteenteksti"/>
        <w:rPr>
          <w:lang w:val="en-US"/>
        </w:rPr>
      </w:pPr>
      <w:r>
        <w:rPr>
          <w:rStyle w:val="Alaviitteenviite"/>
        </w:rPr>
        <w:footnoteRef/>
      </w:r>
      <w:r w:rsidRPr="00694AA1">
        <w:rPr>
          <w:lang w:val="en-US"/>
        </w:rPr>
        <w:t xml:space="preserve"> </w:t>
      </w:r>
      <w:r w:rsidR="009F6E04" w:rsidRPr="009F6E04">
        <w:rPr>
          <w:lang w:val="en-US"/>
        </w:rPr>
        <w:t>International Bar Association</w:t>
      </w:r>
      <w:r w:rsidR="009F6E04">
        <w:rPr>
          <w:lang w:val="en-US"/>
        </w:rPr>
        <w:t xml:space="preserve"> 3.2.2026.</w:t>
      </w:r>
    </w:p>
  </w:footnote>
  <w:footnote w:id="78">
    <w:p w14:paraId="7CD1E80A" w14:textId="01D6BCE0" w:rsidR="000E168F" w:rsidRPr="002351E0" w:rsidRDefault="000E168F" w:rsidP="000E168F">
      <w:pPr>
        <w:pStyle w:val="Alaviitteenteksti"/>
        <w:rPr>
          <w:lang w:val="en-US"/>
        </w:rPr>
      </w:pPr>
      <w:r>
        <w:rPr>
          <w:rStyle w:val="Alaviitteenviite"/>
        </w:rPr>
        <w:footnoteRef/>
      </w:r>
      <w:r w:rsidRPr="002351E0">
        <w:rPr>
          <w:lang w:val="en-US"/>
        </w:rPr>
        <w:t xml:space="preserve"> </w:t>
      </w:r>
      <w:r w:rsidR="009F6E04" w:rsidRPr="009F6E04">
        <w:rPr>
          <w:lang w:val="en-US"/>
        </w:rPr>
        <w:t>HRW 4.12.2025.</w:t>
      </w:r>
    </w:p>
  </w:footnote>
  <w:footnote w:id="79">
    <w:p w14:paraId="3A61BEA4" w14:textId="18E61B62" w:rsidR="007C0D02" w:rsidRPr="00D45758" w:rsidRDefault="007C0D02">
      <w:pPr>
        <w:pStyle w:val="Alaviitteenteksti"/>
      </w:pPr>
      <w:r>
        <w:rPr>
          <w:rStyle w:val="Alaviitteenviite"/>
        </w:rPr>
        <w:footnoteRef/>
      </w:r>
      <w:r w:rsidRPr="00D45758">
        <w:t xml:space="preserve"> </w:t>
      </w:r>
      <w:r w:rsidR="00D45758" w:rsidRPr="00D45758">
        <w:t>GYLA 10.12.2025, s. 17–18.</w:t>
      </w:r>
    </w:p>
  </w:footnote>
  <w:footnote w:id="80">
    <w:p w14:paraId="4225EA12" w14:textId="69F6DD10" w:rsidR="00C4125D" w:rsidRPr="00D45758" w:rsidRDefault="00C4125D" w:rsidP="00C4125D">
      <w:pPr>
        <w:pStyle w:val="Alaviitteenteksti"/>
      </w:pPr>
      <w:r>
        <w:rPr>
          <w:rStyle w:val="Alaviitteenviite"/>
        </w:rPr>
        <w:footnoteRef/>
      </w:r>
      <w:r w:rsidRPr="00D45758">
        <w:t xml:space="preserve"> </w:t>
      </w:r>
      <w:r w:rsidR="00D45758" w:rsidRPr="00D45758">
        <w:t>GYLA 10.12.2025, s. 12–13.</w:t>
      </w:r>
    </w:p>
  </w:footnote>
  <w:footnote w:id="81">
    <w:p w14:paraId="6C90E7A2" w14:textId="20DF0BED" w:rsidR="002B6011" w:rsidRPr="00D45758" w:rsidRDefault="002B6011">
      <w:pPr>
        <w:pStyle w:val="Alaviitteenteksti"/>
      </w:pPr>
      <w:r>
        <w:rPr>
          <w:rStyle w:val="Alaviitteenviite"/>
        </w:rPr>
        <w:footnoteRef/>
      </w:r>
      <w:r w:rsidRPr="00D45758">
        <w:t xml:space="preserve"> </w:t>
      </w:r>
      <w:r w:rsidR="009F6E04" w:rsidRPr="009F6E04">
        <w:t>Maahanmuuttovirasto / Maatietopalvelu 23.5.2025.</w:t>
      </w:r>
    </w:p>
  </w:footnote>
  <w:footnote w:id="82">
    <w:p w14:paraId="4845C9DA" w14:textId="14D0275B" w:rsidR="00363C8F" w:rsidRPr="00D03766" w:rsidRDefault="00363C8F" w:rsidP="00363C8F">
      <w:pPr>
        <w:pStyle w:val="Alaviitteenteksti"/>
      </w:pPr>
      <w:r>
        <w:rPr>
          <w:rStyle w:val="Alaviitteenviite"/>
        </w:rPr>
        <w:footnoteRef/>
      </w:r>
      <w:r w:rsidRPr="00D03766">
        <w:t xml:space="preserve"> </w:t>
      </w:r>
      <w:r w:rsidR="009F6E04" w:rsidRPr="00D03766">
        <w:t>Balkan Insight 28.1.2026.</w:t>
      </w:r>
    </w:p>
  </w:footnote>
  <w:footnote w:id="83">
    <w:p w14:paraId="09164F37" w14:textId="6164ACE8" w:rsidR="00363C8F" w:rsidRPr="00D03766" w:rsidRDefault="00363C8F">
      <w:pPr>
        <w:pStyle w:val="Alaviitteenteksti"/>
      </w:pPr>
      <w:r>
        <w:rPr>
          <w:rStyle w:val="Alaviitteenviite"/>
        </w:rPr>
        <w:footnoteRef/>
      </w:r>
      <w:r w:rsidRPr="00D03766">
        <w:t xml:space="preserve"> </w:t>
      </w:r>
      <w:r w:rsidR="00D45758" w:rsidRPr="00D03766">
        <w:t>GYLA 10.12.2025, s. 19.</w:t>
      </w:r>
    </w:p>
  </w:footnote>
  <w:footnote w:id="84">
    <w:p w14:paraId="37D53CF9" w14:textId="6B2760E0" w:rsidR="009F6E04" w:rsidRPr="009F6E04" w:rsidRDefault="009F6E04">
      <w:pPr>
        <w:pStyle w:val="Alaviitteenteksti"/>
      </w:pPr>
      <w:r>
        <w:rPr>
          <w:rStyle w:val="Alaviitteenviite"/>
        </w:rPr>
        <w:footnoteRef/>
      </w:r>
      <w:r w:rsidRPr="009F6E04">
        <w:t xml:space="preserve"> Euroopan komissio 4.11.2025, s. 8; Etyj 24.2.2026, s. 51, 81–82.</w:t>
      </w:r>
    </w:p>
  </w:footnote>
  <w:footnote w:id="85">
    <w:p w14:paraId="777A17BC" w14:textId="71DA0C9B" w:rsidR="00407E1D" w:rsidRPr="00D03766" w:rsidRDefault="00407E1D" w:rsidP="00407E1D">
      <w:pPr>
        <w:pStyle w:val="Alaviitteenteksti"/>
      </w:pPr>
      <w:r>
        <w:rPr>
          <w:rStyle w:val="Alaviitteenviite"/>
        </w:rPr>
        <w:footnoteRef/>
      </w:r>
      <w:r w:rsidRPr="00D03766">
        <w:t xml:space="preserve"> </w:t>
      </w:r>
      <w:r w:rsidR="009F6E04">
        <w:t>RSF 24.11.2025.</w:t>
      </w:r>
    </w:p>
  </w:footnote>
  <w:footnote w:id="86">
    <w:p w14:paraId="2E89B76C" w14:textId="30BCAB18" w:rsidR="00FF2CF3" w:rsidRPr="000263D7" w:rsidRDefault="00FF2CF3" w:rsidP="00FF2CF3">
      <w:pPr>
        <w:pStyle w:val="Alaviitteenteksti"/>
      </w:pPr>
      <w:r>
        <w:rPr>
          <w:rStyle w:val="Alaviitteenviite"/>
        </w:rPr>
        <w:footnoteRef/>
      </w:r>
      <w:r w:rsidRPr="000263D7">
        <w:t xml:space="preserve"> </w:t>
      </w:r>
      <w:r w:rsidR="000263D7" w:rsidRPr="000263D7">
        <w:t>Etyj 24.2.2026, s. 51, 82.</w:t>
      </w:r>
    </w:p>
  </w:footnote>
  <w:footnote w:id="87">
    <w:p w14:paraId="50ED85A1" w14:textId="1F451328" w:rsidR="00FF2CF3" w:rsidRPr="000263D7" w:rsidRDefault="00FF2CF3">
      <w:pPr>
        <w:pStyle w:val="Alaviitteenteksti"/>
      </w:pPr>
      <w:r>
        <w:rPr>
          <w:rStyle w:val="Alaviitteenviite"/>
        </w:rPr>
        <w:footnoteRef/>
      </w:r>
      <w:r w:rsidRPr="000263D7">
        <w:t xml:space="preserve"> </w:t>
      </w:r>
      <w:r w:rsidR="000263D7" w:rsidRPr="000263D7">
        <w:t>Euroopan komissio 4.11.2025, s. 3</w:t>
      </w:r>
      <w:r w:rsidR="000263D7">
        <w:t>6</w:t>
      </w:r>
      <w:r w:rsidR="000263D7" w:rsidRPr="000263D7">
        <w:t>.</w:t>
      </w:r>
    </w:p>
  </w:footnote>
  <w:footnote w:id="88">
    <w:p w14:paraId="307BB87E" w14:textId="2DE675F0" w:rsidR="00D240B6" w:rsidRPr="000263D7" w:rsidRDefault="00D240B6">
      <w:pPr>
        <w:pStyle w:val="Alaviitteenteksti"/>
      </w:pPr>
      <w:r>
        <w:rPr>
          <w:rStyle w:val="Alaviitteenviite"/>
        </w:rPr>
        <w:footnoteRef/>
      </w:r>
      <w:r w:rsidRPr="000263D7">
        <w:t xml:space="preserve"> </w:t>
      </w:r>
      <w:r w:rsidR="000263D7" w:rsidRPr="000263D7">
        <w:t>Etyj 24.2.2026, s. 51, 82.</w:t>
      </w:r>
    </w:p>
  </w:footnote>
  <w:footnote w:id="89">
    <w:p w14:paraId="446912ED" w14:textId="6016E9F6" w:rsidR="00407E1D" w:rsidRDefault="00407E1D" w:rsidP="00407E1D">
      <w:pPr>
        <w:pStyle w:val="Alaviitteenteksti"/>
        <w:rPr>
          <w:lang w:val="en-US"/>
        </w:rPr>
      </w:pPr>
      <w:r>
        <w:rPr>
          <w:rStyle w:val="Alaviitteenviite"/>
        </w:rPr>
        <w:footnoteRef/>
      </w:r>
      <w:r>
        <w:rPr>
          <w:lang w:val="en-US"/>
        </w:rPr>
        <w:t xml:space="preserve"> </w:t>
      </w:r>
      <w:r w:rsidR="009F6E04">
        <w:t>RSF 24.11.2025.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1800A6E" w14:textId="77777777" w:rsidTr="00110B17">
      <w:trPr>
        <w:tblHeader/>
      </w:trPr>
      <w:tc>
        <w:tcPr>
          <w:tcW w:w="3005" w:type="dxa"/>
          <w:tcBorders>
            <w:top w:val="nil"/>
            <w:left w:val="nil"/>
            <w:bottom w:val="nil"/>
            <w:right w:val="nil"/>
          </w:tcBorders>
        </w:tcPr>
        <w:p w14:paraId="312D511F" w14:textId="77777777" w:rsidR="0064460B" w:rsidRPr="00A058E4" w:rsidRDefault="0064460B">
          <w:pPr>
            <w:pStyle w:val="Yltunniste"/>
            <w:rPr>
              <w:sz w:val="16"/>
              <w:szCs w:val="16"/>
            </w:rPr>
          </w:pPr>
        </w:p>
      </w:tc>
      <w:tc>
        <w:tcPr>
          <w:tcW w:w="3005" w:type="dxa"/>
          <w:tcBorders>
            <w:top w:val="nil"/>
            <w:left w:val="nil"/>
            <w:bottom w:val="nil"/>
            <w:right w:val="nil"/>
          </w:tcBorders>
        </w:tcPr>
        <w:p w14:paraId="328DD14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5A261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E017F7E" w14:textId="77777777" w:rsidTr="00421708">
      <w:tc>
        <w:tcPr>
          <w:tcW w:w="3005" w:type="dxa"/>
          <w:tcBorders>
            <w:top w:val="nil"/>
            <w:left w:val="nil"/>
            <w:bottom w:val="nil"/>
            <w:right w:val="nil"/>
          </w:tcBorders>
        </w:tcPr>
        <w:p w14:paraId="681CFF84" w14:textId="77777777" w:rsidR="0064460B" w:rsidRPr="00A058E4" w:rsidRDefault="0064460B">
          <w:pPr>
            <w:pStyle w:val="Yltunniste"/>
            <w:rPr>
              <w:sz w:val="16"/>
              <w:szCs w:val="16"/>
            </w:rPr>
          </w:pPr>
        </w:p>
      </w:tc>
      <w:tc>
        <w:tcPr>
          <w:tcW w:w="3005" w:type="dxa"/>
          <w:tcBorders>
            <w:top w:val="nil"/>
            <w:left w:val="nil"/>
            <w:bottom w:val="nil"/>
            <w:right w:val="nil"/>
          </w:tcBorders>
        </w:tcPr>
        <w:p w14:paraId="3B8357D3" w14:textId="77777777" w:rsidR="0064460B" w:rsidRPr="00A058E4" w:rsidRDefault="0064460B">
          <w:pPr>
            <w:pStyle w:val="Yltunniste"/>
            <w:rPr>
              <w:sz w:val="16"/>
              <w:szCs w:val="16"/>
            </w:rPr>
          </w:pPr>
        </w:p>
      </w:tc>
      <w:tc>
        <w:tcPr>
          <w:tcW w:w="3006" w:type="dxa"/>
          <w:tcBorders>
            <w:top w:val="nil"/>
            <w:left w:val="nil"/>
            <w:bottom w:val="nil"/>
            <w:right w:val="nil"/>
          </w:tcBorders>
        </w:tcPr>
        <w:p w14:paraId="38CD1092" w14:textId="77777777" w:rsidR="0064460B" w:rsidRPr="00A058E4" w:rsidRDefault="0064460B" w:rsidP="00A058E4">
          <w:pPr>
            <w:pStyle w:val="Yltunniste"/>
            <w:jc w:val="right"/>
            <w:rPr>
              <w:sz w:val="16"/>
              <w:szCs w:val="16"/>
            </w:rPr>
          </w:pPr>
        </w:p>
      </w:tc>
    </w:tr>
    <w:tr w:rsidR="0064460B" w:rsidRPr="00A058E4" w14:paraId="4397574D" w14:textId="77777777" w:rsidTr="00421708">
      <w:tc>
        <w:tcPr>
          <w:tcW w:w="3005" w:type="dxa"/>
          <w:tcBorders>
            <w:top w:val="nil"/>
            <w:left w:val="nil"/>
            <w:bottom w:val="nil"/>
            <w:right w:val="nil"/>
          </w:tcBorders>
        </w:tcPr>
        <w:p w14:paraId="0A84BF12" w14:textId="77777777" w:rsidR="0064460B" w:rsidRPr="00A058E4" w:rsidRDefault="0064460B">
          <w:pPr>
            <w:pStyle w:val="Yltunniste"/>
            <w:rPr>
              <w:sz w:val="16"/>
              <w:szCs w:val="16"/>
            </w:rPr>
          </w:pPr>
        </w:p>
      </w:tc>
      <w:tc>
        <w:tcPr>
          <w:tcW w:w="3005" w:type="dxa"/>
          <w:tcBorders>
            <w:top w:val="nil"/>
            <w:left w:val="nil"/>
            <w:bottom w:val="nil"/>
            <w:right w:val="nil"/>
          </w:tcBorders>
        </w:tcPr>
        <w:p w14:paraId="21A2D528" w14:textId="77777777" w:rsidR="0064460B" w:rsidRPr="00A058E4" w:rsidRDefault="0064460B">
          <w:pPr>
            <w:pStyle w:val="Yltunniste"/>
            <w:rPr>
              <w:sz w:val="16"/>
              <w:szCs w:val="16"/>
            </w:rPr>
          </w:pPr>
        </w:p>
      </w:tc>
      <w:tc>
        <w:tcPr>
          <w:tcW w:w="3006" w:type="dxa"/>
          <w:tcBorders>
            <w:top w:val="nil"/>
            <w:left w:val="nil"/>
            <w:bottom w:val="nil"/>
            <w:right w:val="nil"/>
          </w:tcBorders>
        </w:tcPr>
        <w:p w14:paraId="7ED81B2C" w14:textId="77777777" w:rsidR="0064460B" w:rsidRPr="00A058E4" w:rsidRDefault="0064460B" w:rsidP="00A058E4">
          <w:pPr>
            <w:pStyle w:val="Yltunniste"/>
            <w:jc w:val="right"/>
            <w:rPr>
              <w:sz w:val="16"/>
              <w:szCs w:val="16"/>
            </w:rPr>
          </w:pPr>
        </w:p>
      </w:tc>
    </w:tr>
  </w:tbl>
  <w:p w14:paraId="1FFD099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7308D9" wp14:editId="4C2719D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09A3E19" w14:textId="77777777" w:rsidTr="004B2B44">
      <w:tc>
        <w:tcPr>
          <w:tcW w:w="3005" w:type="dxa"/>
          <w:tcBorders>
            <w:top w:val="nil"/>
            <w:left w:val="nil"/>
            <w:bottom w:val="nil"/>
            <w:right w:val="nil"/>
          </w:tcBorders>
        </w:tcPr>
        <w:p w14:paraId="7063BE70" w14:textId="77777777" w:rsidR="00873A37" w:rsidRPr="00A058E4" w:rsidRDefault="00873A37">
          <w:pPr>
            <w:pStyle w:val="Yltunniste"/>
            <w:rPr>
              <w:sz w:val="16"/>
              <w:szCs w:val="16"/>
            </w:rPr>
          </w:pPr>
        </w:p>
      </w:tc>
      <w:tc>
        <w:tcPr>
          <w:tcW w:w="3005" w:type="dxa"/>
          <w:tcBorders>
            <w:top w:val="nil"/>
            <w:left w:val="nil"/>
            <w:bottom w:val="nil"/>
            <w:right w:val="nil"/>
          </w:tcBorders>
        </w:tcPr>
        <w:p w14:paraId="3D8DD2D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4DF2BA6"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03D10EA" w14:textId="77777777" w:rsidTr="004B2B44">
      <w:tc>
        <w:tcPr>
          <w:tcW w:w="3005" w:type="dxa"/>
          <w:tcBorders>
            <w:top w:val="nil"/>
            <w:left w:val="nil"/>
            <w:bottom w:val="nil"/>
            <w:right w:val="nil"/>
          </w:tcBorders>
        </w:tcPr>
        <w:p w14:paraId="384D00CD" w14:textId="77777777" w:rsidR="00873A37" w:rsidRPr="00A058E4" w:rsidRDefault="00873A37">
          <w:pPr>
            <w:pStyle w:val="Yltunniste"/>
            <w:rPr>
              <w:sz w:val="16"/>
              <w:szCs w:val="16"/>
            </w:rPr>
          </w:pPr>
        </w:p>
      </w:tc>
      <w:tc>
        <w:tcPr>
          <w:tcW w:w="3005" w:type="dxa"/>
          <w:tcBorders>
            <w:top w:val="nil"/>
            <w:left w:val="nil"/>
            <w:bottom w:val="nil"/>
            <w:right w:val="nil"/>
          </w:tcBorders>
        </w:tcPr>
        <w:p w14:paraId="7D248965" w14:textId="77777777" w:rsidR="00873A37" w:rsidRPr="00A058E4" w:rsidRDefault="00873A37">
          <w:pPr>
            <w:pStyle w:val="Yltunniste"/>
            <w:rPr>
              <w:sz w:val="16"/>
              <w:szCs w:val="16"/>
            </w:rPr>
          </w:pPr>
        </w:p>
      </w:tc>
      <w:tc>
        <w:tcPr>
          <w:tcW w:w="3006" w:type="dxa"/>
          <w:tcBorders>
            <w:top w:val="nil"/>
            <w:left w:val="nil"/>
            <w:bottom w:val="nil"/>
            <w:right w:val="nil"/>
          </w:tcBorders>
        </w:tcPr>
        <w:p w14:paraId="7DB7D396" w14:textId="77777777" w:rsidR="00873A37" w:rsidRPr="00A058E4" w:rsidRDefault="00873A37" w:rsidP="00A058E4">
          <w:pPr>
            <w:pStyle w:val="Yltunniste"/>
            <w:jc w:val="right"/>
            <w:rPr>
              <w:sz w:val="16"/>
              <w:szCs w:val="16"/>
            </w:rPr>
          </w:pPr>
        </w:p>
      </w:tc>
    </w:tr>
    <w:tr w:rsidR="00873A37" w:rsidRPr="00A058E4" w14:paraId="709B4C90" w14:textId="77777777" w:rsidTr="004B2B44">
      <w:tc>
        <w:tcPr>
          <w:tcW w:w="3005" w:type="dxa"/>
          <w:tcBorders>
            <w:top w:val="nil"/>
            <w:left w:val="nil"/>
            <w:bottom w:val="nil"/>
            <w:right w:val="nil"/>
          </w:tcBorders>
        </w:tcPr>
        <w:p w14:paraId="11BE9862" w14:textId="77777777" w:rsidR="00873A37" w:rsidRPr="00A058E4" w:rsidRDefault="00873A37">
          <w:pPr>
            <w:pStyle w:val="Yltunniste"/>
            <w:rPr>
              <w:sz w:val="16"/>
              <w:szCs w:val="16"/>
            </w:rPr>
          </w:pPr>
        </w:p>
      </w:tc>
      <w:tc>
        <w:tcPr>
          <w:tcW w:w="3005" w:type="dxa"/>
          <w:tcBorders>
            <w:top w:val="nil"/>
            <w:left w:val="nil"/>
            <w:bottom w:val="nil"/>
            <w:right w:val="nil"/>
          </w:tcBorders>
        </w:tcPr>
        <w:p w14:paraId="57E8A3FE" w14:textId="77777777" w:rsidR="00873A37" w:rsidRPr="00A058E4" w:rsidRDefault="00873A37">
          <w:pPr>
            <w:pStyle w:val="Yltunniste"/>
            <w:rPr>
              <w:sz w:val="16"/>
              <w:szCs w:val="16"/>
            </w:rPr>
          </w:pPr>
        </w:p>
      </w:tc>
      <w:tc>
        <w:tcPr>
          <w:tcW w:w="3006" w:type="dxa"/>
          <w:tcBorders>
            <w:top w:val="nil"/>
            <w:left w:val="nil"/>
            <w:bottom w:val="nil"/>
            <w:right w:val="nil"/>
          </w:tcBorders>
        </w:tcPr>
        <w:p w14:paraId="12E8308D" w14:textId="77777777" w:rsidR="00873A37" w:rsidRPr="00A058E4" w:rsidRDefault="00873A37" w:rsidP="00A058E4">
          <w:pPr>
            <w:pStyle w:val="Yltunniste"/>
            <w:jc w:val="right"/>
            <w:rPr>
              <w:sz w:val="16"/>
              <w:szCs w:val="16"/>
            </w:rPr>
          </w:pPr>
        </w:p>
      </w:tc>
    </w:tr>
  </w:tbl>
  <w:p w14:paraId="10D52B2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318137F" wp14:editId="1DB0AB4E">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18"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08308F"/>
    <w:multiLevelType w:val="hybridMultilevel"/>
    <w:tmpl w:val="55EE04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C023DB"/>
    <w:multiLevelType w:val="hybridMultilevel"/>
    <w:tmpl w:val="0C0EC8AE"/>
    <w:lvl w:ilvl="0" w:tplc="F662CE18">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A5B35B1"/>
    <w:multiLevelType w:val="multilevel"/>
    <w:tmpl w:val="12CC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272BED"/>
    <w:multiLevelType w:val="multilevel"/>
    <w:tmpl w:val="EF286224"/>
    <w:numStyleLink w:val="Style1"/>
  </w:abstractNum>
  <w:abstractNum w:abstractNumId="2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22"/>
  </w:num>
  <w:num w:numId="3">
    <w:abstractNumId w:val="15"/>
  </w:num>
  <w:num w:numId="4">
    <w:abstractNumId w:val="14"/>
  </w:num>
  <w:num w:numId="5">
    <w:abstractNumId w:val="12"/>
  </w:num>
  <w:num w:numId="6">
    <w:abstractNumId w:val="17"/>
  </w:num>
  <w:num w:numId="7">
    <w:abstractNumId w:val="21"/>
  </w:num>
  <w:num w:numId="8">
    <w:abstractNumId w:val="20"/>
  </w:num>
  <w:num w:numId="9">
    <w:abstractNumId w:val="20"/>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19"/>
  </w:num>
  <w:num w:numId="19">
    <w:abstractNumId w:val="18"/>
  </w:num>
  <w:num w:numId="20">
    <w:abstractNumId w:val="26"/>
  </w:num>
  <w:num w:numId="21">
    <w:abstractNumId w:val="8"/>
  </w:num>
  <w:num w:numId="22">
    <w:abstractNumId w:val="23"/>
  </w:num>
  <w:num w:numId="23">
    <w:abstractNumId w:val="5"/>
  </w:num>
  <w:num w:numId="24">
    <w:abstractNumId w:val="9"/>
  </w:num>
  <w:num w:numId="25">
    <w:abstractNumId w:val="0"/>
  </w:num>
  <w:num w:numId="26">
    <w:abstractNumId w:val="25"/>
  </w:num>
  <w:num w:numId="27">
    <w:abstractNumId w:val="10"/>
  </w:num>
  <w:num w:numId="28">
    <w:abstractNumId w:val="6"/>
  </w:num>
  <w:num w:numId="29">
    <w:abstractNumId w:val="16"/>
  </w:num>
  <w:num w:numId="30">
    <w:abstractNumId w:val="3"/>
  </w:num>
  <w:num w:numId="31">
    <w:abstractNumId w:val="3"/>
  </w:num>
  <w:num w:numId="32">
    <w:abstractNumId w:val="3"/>
  </w:num>
  <w:num w:numId="33">
    <w:abstractNumId w:val="3"/>
  </w:num>
  <w:num w:numId="34">
    <w:abstractNumId w:val="7"/>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BB"/>
    <w:rsid w:val="0000016A"/>
    <w:rsid w:val="000059C0"/>
    <w:rsid w:val="00010C97"/>
    <w:rsid w:val="0001289F"/>
    <w:rsid w:val="00012EC0"/>
    <w:rsid w:val="00013B40"/>
    <w:rsid w:val="00013F3D"/>
    <w:rsid w:val="000140FF"/>
    <w:rsid w:val="00017F41"/>
    <w:rsid w:val="00022D94"/>
    <w:rsid w:val="00023864"/>
    <w:rsid w:val="000263D7"/>
    <w:rsid w:val="000449EA"/>
    <w:rsid w:val="000455E3"/>
    <w:rsid w:val="00046783"/>
    <w:rsid w:val="000564EB"/>
    <w:rsid w:val="000663E8"/>
    <w:rsid w:val="0007094E"/>
    <w:rsid w:val="00072438"/>
    <w:rsid w:val="000729DB"/>
    <w:rsid w:val="00074FB9"/>
    <w:rsid w:val="00082DFE"/>
    <w:rsid w:val="000921BD"/>
    <w:rsid w:val="0009323F"/>
    <w:rsid w:val="0009508D"/>
    <w:rsid w:val="000A224A"/>
    <w:rsid w:val="000B22E2"/>
    <w:rsid w:val="000B7ABB"/>
    <w:rsid w:val="000D45F8"/>
    <w:rsid w:val="000E168F"/>
    <w:rsid w:val="000E1A4B"/>
    <w:rsid w:val="000E2D54"/>
    <w:rsid w:val="000E4D8B"/>
    <w:rsid w:val="000E693C"/>
    <w:rsid w:val="000F4AD8"/>
    <w:rsid w:val="000F6F25"/>
    <w:rsid w:val="000F793B"/>
    <w:rsid w:val="00107F07"/>
    <w:rsid w:val="00110468"/>
    <w:rsid w:val="00110B17"/>
    <w:rsid w:val="00117EA9"/>
    <w:rsid w:val="00123788"/>
    <w:rsid w:val="00131B7A"/>
    <w:rsid w:val="001360E5"/>
    <w:rsid w:val="001366EE"/>
    <w:rsid w:val="00136FEB"/>
    <w:rsid w:val="00144AAB"/>
    <w:rsid w:val="00146694"/>
    <w:rsid w:val="0015077E"/>
    <w:rsid w:val="0015362E"/>
    <w:rsid w:val="001678AD"/>
    <w:rsid w:val="001741CB"/>
    <w:rsid w:val="001755D8"/>
    <w:rsid w:val="001758C8"/>
    <w:rsid w:val="00183B83"/>
    <w:rsid w:val="0019524D"/>
    <w:rsid w:val="00195763"/>
    <w:rsid w:val="001A4752"/>
    <w:rsid w:val="001B0F3E"/>
    <w:rsid w:val="001B20DB"/>
    <w:rsid w:val="001B2917"/>
    <w:rsid w:val="001B5A04"/>
    <w:rsid w:val="001B6B07"/>
    <w:rsid w:val="001C0382"/>
    <w:rsid w:val="001C3EB2"/>
    <w:rsid w:val="001C422A"/>
    <w:rsid w:val="001D015C"/>
    <w:rsid w:val="001D1831"/>
    <w:rsid w:val="001D4E47"/>
    <w:rsid w:val="001D587F"/>
    <w:rsid w:val="001D5CAA"/>
    <w:rsid w:val="001D63F6"/>
    <w:rsid w:val="001E21A8"/>
    <w:rsid w:val="001F1B08"/>
    <w:rsid w:val="00206DFC"/>
    <w:rsid w:val="00207DAB"/>
    <w:rsid w:val="002230C0"/>
    <w:rsid w:val="002248A2"/>
    <w:rsid w:val="00224FD6"/>
    <w:rsid w:val="0022712B"/>
    <w:rsid w:val="002350CB"/>
    <w:rsid w:val="002351E0"/>
    <w:rsid w:val="00237C15"/>
    <w:rsid w:val="00252F50"/>
    <w:rsid w:val="00253B21"/>
    <w:rsid w:val="002571E9"/>
    <w:rsid w:val="002629C5"/>
    <w:rsid w:val="00267906"/>
    <w:rsid w:val="00267E88"/>
    <w:rsid w:val="00272D9D"/>
    <w:rsid w:val="00274A05"/>
    <w:rsid w:val="00284F91"/>
    <w:rsid w:val="00291411"/>
    <w:rsid w:val="002940A0"/>
    <w:rsid w:val="002A6054"/>
    <w:rsid w:val="002B4F5C"/>
    <w:rsid w:val="002B5E48"/>
    <w:rsid w:val="002B6011"/>
    <w:rsid w:val="002C2668"/>
    <w:rsid w:val="002C4FEA"/>
    <w:rsid w:val="002C656A"/>
    <w:rsid w:val="002D0032"/>
    <w:rsid w:val="002D1B3B"/>
    <w:rsid w:val="002D2357"/>
    <w:rsid w:val="002D70EF"/>
    <w:rsid w:val="002D7383"/>
    <w:rsid w:val="002E0B87"/>
    <w:rsid w:val="002E7DCF"/>
    <w:rsid w:val="0030232A"/>
    <w:rsid w:val="003077A4"/>
    <w:rsid w:val="003135FC"/>
    <w:rsid w:val="00313CBC"/>
    <w:rsid w:val="00313CBF"/>
    <w:rsid w:val="0032021E"/>
    <w:rsid w:val="003226F0"/>
    <w:rsid w:val="00335D68"/>
    <w:rsid w:val="0033622F"/>
    <w:rsid w:val="00337E76"/>
    <w:rsid w:val="00340E7C"/>
    <w:rsid w:val="00341C25"/>
    <w:rsid w:val="00342A30"/>
    <w:rsid w:val="00351B7D"/>
    <w:rsid w:val="00363C8F"/>
    <w:rsid w:val="00366432"/>
    <w:rsid w:val="003673C0"/>
    <w:rsid w:val="00370E4F"/>
    <w:rsid w:val="00373713"/>
    <w:rsid w:val="00376326"/>
    <w:rsid w:val="00377AEB"/>
    <w:rsid w:val="00382CCA"/>
    <w:rsid w:val="0038473B"/>
    <w:rsid w:val="00385B1D"/>
    <w:rsid w:val="00390DB7"/>
    <w:rsid w:val="0039232D"/>
    <w:rsid w:val="00395047"/>
    <w:rsid w:val="003964A3"/>
    <w:rsid w:val="003976AD"/>
    <w:rsid w:val="003A7E41"/>
    <w:rsid w:val="003B144B"/>
    <w:rsid w:val="003B3150"/>
    <w:rsid w:val="003C4049"/>
    <w:rsid w:val="003C5382"/>
    <w:rsid w:val="003C5D7E"/>
    <w:rsid w:val="003D0AB9"/>
    <w:rsid w:val="003D4732"/>
    <w:rsid w:val="003F43EB"/>
    <w:rsid w:val="003F56FA"/>
    <w:rsid w:val="003F5BFA"/>
    <w:rsid w:val="00401C26"/>
    <w:rsid w:val="00403322"/>
    <w:rsid w:val="004045B4"/>
    <w:rsid w:val="004072DF"/>
    <w:rsid w:val="00407E1D"/>
    <w:rsid w:val="00410407"/>
    <w:rsid w:val="00415000"/>
    <w:rsid w:val="0041667A"/>
    <w:rsid w:val="00416C98"/>
    <w:rsid w:val="00421708"/>
    <w:rsid w:val="004221B0"/>
    <w:rsid w:val="00423E56"/>
    <w:rsid w:val="00430C40"/>
    <w:rsid w:val="004316F2"/>
    <w:rsid w:val="004332A7"/>
    <w:rsid w:val="0043343B"/>
    <w:rsid w:val="00433495"/>
    <w:rsid w:val="0043717D"/>
    <w:rsid w:val="00437C68"/>
    <w:rsid w:val="00440722"/>
    <w:rsid w:val="004460C6"/>
    <w:rsid w:val="00460ADC"/>
    <w:rsid w:val="00465DC6"/>
    <w:rsid w:val="0047544F"/>
    <w:rsid w:val="004818E3"/>
    <w:rsid w:val="00483E37"/>
    <w:rsid w:val="0049356E"/>
    <w:rsid w:val="004A3E23"/>
    <w:rsid w:val="004A7880"/>
    <w:rsid w:val="004B2B44"/>
    <w:rsid w:val="004B34E1"/>
    <w:rsid w:val="004C1C47"/>
    <w:rsid w:val="004C23F9"/>
    <w:rsid w:val="004C6D8F"/>
    <w:rsid w:val="004D7499"/>
    <w:rsid w:val="004D76E3"/>
    <w:rsid w:val="004E598B"/>
    <w:rsid w:val="004E7807"/>
    <w:rsid w:val="004F15C9"/>
    <w:rsid w:val="004F28FE"/>
    <w:rsid w:val="004F4078"/>
    <w:rsid w:val="00510150"/>
    <w:rsid w:val="00521FC4"/>
    <w:rsid w:val="00525360"/>
    <w:rsid w:val="00527E87"/>
    <w:rsid w:val="00542018"/>
    <w:rsid w:val="005429C0"/>
    <w:rsid w:val="00543B88"/>
    <w:rsid w:val="00543F66"/>
    <w:rsid w:val="00547B86"/>
    <w:rsid w:val="00552E89"/>
    <w:rsid w:val="00554136"/>
    <w:rsid w:val="00554A7A"/>
    <w:rsid w:val="0055582F"/>
    <w:rsid w:val="00555E75"/>
    <w:rsid w:val="00556532"/>
    <w:rsid w:val="0056613C"/>
    <w:rsid w:val="00566672"/>
    <w:rsid w:val="005719F7"/>
    <w:rsid w:val="00580B7B"/>
    <w:rsid w:val="005814A1"/>
    <w:rsid w:val="0058238D"/>
    <w:rsid w:val="00583FE4"/>
    <w:rsid w:val="00590663"/>
    <w:rsid w:val="0059535B"/>
    <w:rsid w:val="005A309A"/>
    <w:rsid w:val="005A63FA"/>
    <w:rsid w:val="005B00BB"/>
    <w:rsid w:val="005B2120"/>
    <w:rsid w:val="005B3A3F"/>
    <w:rsid w:val="005B47D8"/>
    <w:rsid w:val="005B6C91"/>
    <w:rsid w:val="005D3A33"/>
    <w:rsid w:val="005D3C53"/>
    <w:rsid w:val="005D65B2"/>
    <w:rsid w:val="005D7EB5"/>
    <w:rsid w:val="005E2BC1"/>
    <w:rsid w:val="005F163B"/>
    <w:rsid w:val="005F6C01"/>
    <w:rsid w:val="0060063B"/>
    <w:rsid w:val="00601F27"/>
    <w:rsid w:val="0060721F"/>
    <w:rsid w:val="00613331"/>
    <w:rsid w:val="006200E6"/>
    <w:rsid w:val="00620595"/>
    <w:rsid w:val="00623A74"/>
    <w:rsid w:val="00627C21"/>
    <w:rsid w:val="00633597"/>
    <w:rsid w:val="00633BBD"/>
    <w:rsid w:val="00634FEB"/>
    <w:rsid w:val="0063666A"/>
    <w:rsid w:val="00640E41"/>
    <w:rsid w:val="0064460B"/>
    <w:rsid w:val="0064589F"/>
    <w:rsid w:val="00651A8A"/>
    <w:rsid w:val="00652F5F"/>
    <w:rsid w:val="00655C4C"/>
    <w:rsid w:val="00662017"/>
    <w:rsid w:val="00662B56"/>
    <w:rsid w:val="00666FD6"/>
    <w:rsid w:val="00667EFB"/>
    <w:rsid w:val="00671041"/>
    <w:rsid w:val="00674C6B"/>
    <w:rsid w:val="00685EED"/>
    <w:rsid w:val="00686CF3"/>
    <w:rsid w:val="00690651"/>
    <w:rsid w:val="0069181E"/>
    <w:rsid w:val="0069291D"/>
    <w:rsid w:val="00694AA1"/>
    <w:rsid w:val="006A2F5D"/>
    <w:rsid w:val="006A4F5F"/>
    <w:rsid w:val="006B1508"/>
    <w:rsid w:val="006B3E85"/>
    <w:rsid w:val="006B4626"/>
    <w:rsid w:val="006C7A99"/>
    <w:rsid w:val="006D1E23"/>
    <w:rsid w:val="006D3068"/>
    <w:rsid w:val="006E7D0B"/>
    <w:rsid w:val="006F0B7C"/>
    <w:rsid w:val="007001A0"/>
    <w:rsid w:val="0070377D"/>
    <w:rsid w:val="007168DA"/>
    <w:rsid w:val="007212A4"/>
    <w:rsid w:val="00723843"/>
    <w:rsid w:val="0073068A"/>
    <w:rsid w:val="00737EF7"/>
    <w:rsid w:val="0074104A"/>
    <w:rsid w:val="0074158A"/>
    <w:rsid w:val="0074411C"/>
    <w:rsid w:val="007460A2"/>
    <w:rsid w:val="00746888"/>
    <w:rsid w:val="00751EBB"/>
    <w:rsid w:val="00752CF1"/>
    <w:rsid w:val="00772240"/>
    <w:rsid w:val="00780AF4"/>
    <w:rsid w:val="00785D58"/>
    <w:rsid w:val="0079756E"/>
    <w:rsid w:val="007A5C7C"/>
    <w:rsid w:val="007B20BA"/>
    <w:rsid w:val="007B2D20"/>
    <w:rsid w:val="007C057B"/>
    <w:rsid w:val="007C0D02"/>
    <w:rsid w:val="007C1151"/>
    <w:rsid w:val="007C25EB"/>
    <w:rsid w:val="007C4B6F"/>
    <w:rsid w:val="007C5BB2"/>
    <w:rsid w:val="007E0069"/>
    <w:rsid w:val="007F4389"/>
    <w:rsid w:val="007F68D2"/>
    <w:rsid w:val="00800AA9"/>
    <w:rsid w:val="008013B4"/>
    <w:rsid w:val="008020E6"/>
    <w:rsid w:val="00802F2D"/>
    <w:rsid w:val="00803B42"/>
    <w:rsid w:val="00810134"/>
    <w:rsid w:val="008350F0"/>
    <w:rsid w:val="00835734"/>
    <w:rsid w:val="00835F8D"/>
    <w:rsid w:val="0084029C"/>
    <w:rsid w:val="00845940"/>
    <w:rsid w:val="00852ACD"/>
    <w:rsid w:val="00855A10"/>
    <w:rsid w:val="008571C0"/>
    <w:rsid w:val="00860C12"/>
    <w:rsid w:val="00865B4C"/>
    <w:rsid w:val="0087371C"/>
    <w:rsid w:val="00873A37"/>
    <w:rsid w:val="008755BF"/>
    <w:rsid w:val="0088523F"/>
    <w:rsid w:val="008A30C6"/>
    <w:rsid w:val="008A3277"/>
    <w:rsid w:val="008A5AC6"/>
    <w:rsid w:val="008B2637"/>
    <w:rsid w:val="008B37EC"/>
    <w:rsid w:val="008B44DF"/>
    <w:rsid w:val="008B4C53"/>
    <w:rsid w:val="008C3171"/>
    <w:rsid w:val="008C3FF0"/>
    <w:rsid w:val="008C6A0E"/>
    <w:rsid w:val="008E0129"/>
    <w:rsid w:val="008E1575"/>
    <w:rsid w:val="008E2F5A"/>
    <w:rsid w:val="008F20FD"/>
    <w:rsid w:val="008F2AAB"/>
    <w:rsid w:val="0090479F"/>
    <w:rsid w:val="00904BEA"/>
    <w:rsid w:val="009170B9"/>
    <w:rsid w:val="009230EE"/>
    <w:rsid w:val="00932979"/>
    <w:rsid w:val="00940458"/>
    <w:rsid w:val="00941FAB"/>
    <w:rsid w:val="00952982"/>
    <w:rsid w:val="0095433D"/>
    <w:rsid w:val="00966541"/>
    <w:rsid w:val="009707A5"/>
    <w:rsid w:val="00971ACD"/>
    <w:rsid w:val="009778BB"/>
    <w:rsid w:val="00980592"/>
    <w:rsid w:val="00980F1C"/>
    <w:rsid w:val="00981808"/>
    <w:rsid w:val="009969CA"/>
    <w:rsid w:val="009A412D"/>
    <w:rsid w:val="009B0CD5"/>
    <w:rsid w:val="009B606B"/>
    <w:rsid w:val="009C2B1C"/>
    <w:rsid w:val="009C30F9"/>
    <w:rsid w:val="009C3D95"/>
    <w:rsid w:val="009D03DC"/>
    <w:rsid w:val="009D0599"/>
    <w:rsid w:val="009D26CC"/>
    <w:rsid w:val="009D44A2"/>
    <w:rsid w:val="009D5EC8"/>
    <w:rsid w:val="009E0F44"/>
    <w:rsid w:val="009E209D"/>
    <w:rsid w:val="009E3B08"/>
    <w:rsid w:val="009E3C92"/>
    <w:rsid w:val="009F1CC5"/>
    <w:rsid w:val="009F5CDD"/>
    <w:rsid w:val="009F6E04"/>
    <w:rsid w:val="00A04FF1"/>
    <w:rsid w:val="00A058E4"/>
    <w:rsid w:val="00A33B93"/>
    <w:rsid w:val="00A35BCB"/>
    <w:rsid w:val="00A44FD3"/>
    <w:rsid w:val="00A522BB"/>
    <w:rsid w:val="00A55200"/>
    <w:rsid w:val="00A6466D"/>
    <w:rsid w:val="00A64DCD"/>
    <w:rsid w:val="00A65839"/>
    <w:rsid w:val="00A74713"/>
    <w:rsid w:val="00A7678F"/>
    <w:rsid w:val="00A8295C"/>
    <w:rsid w:val="00A900EA"/>
    <w:rsid w:val="00A93B2D"/>
    <w:rsid w:val="00A96097"/>
    <w:rsid w:val="00A96904"/>
    <w:rsid w:val="00AB63B3"/>
    <w:rsid w:val="00AC4FDE"/>
    <w:rsid w:val="00AC5E4B"/>
    <w:rsid w:val="00AC71A3"/>
    <w:rsid w:val="00AE08A1"/>
    <w:rsid w:val="00AE21E8"/>
    <w:rsid w:val="00AE31DA"/>
    <w:rsid w:val="00AE54AA"/>
    <w:rsid w:val="00AE7C7B"/>
    <w:rsid w:val="00AF03BC"/>
    <w:rsid w:val="00AF17B9"/>
    <w:rsid w:val="00B01DDF"/>
    <w:rsid w:val="00B0234C"/>
    <w:rsid w:val="00B07C42"/>
    <w:rsid w:val="00B112B8"/>
    <w:rsid w:val="00B216A7"/>
    <w:rsid w:val="00B236E2"/>
    <w:rsid w:val="00B33381"/>
    <w:rsid w:val="00B37882"/>
    <w:rsid w:val="00B529CE"/>
    <w:rsid w:val="00B52A4D"/>
    <w:rsid w:val="00B52DD7"/>
    <w:rsid w:val="00B6171C"/>
    <w:rsid w:val="00B65278"/>
    <w:rsid w:val="00B67E2E"/>
    <w:rsid w:val="00B70293"/>
    <w:rsid w:val="00B7440B"/>
    <w:rsid w:val="00B82F71"/>
    <w:rsid w:val="00B96A72"/>
    <w:rsid w:val="00BA2164"/>
    <w:rsid w:val="00BB0B29"/>
    <w:rsid w:val="00BB36AD"/>
    <w:rsid w:val="00BB785D"/>
    <w:rsid w:val="00BB7F45"/>
    <w:rsid w:val="00BC1CB7"/>
    <w:rsid w:val="00BC367A"/>
    <w:rsid w:val="00BD0704"/>
    <w:rsid w:val="00BE0837"/>
    <w:rsid w:val="00BE2758"/>
    <w:rsid w:val="00BE369A"/>
    <w:rsid w:val="00BE608B"/>
    <w:rsid w:val="00BE7E5C"/>
    <w:rsid w:val="00BF5E20"/>
    <w:rsid w:val="00BF744C"/>
    <w:rsid w:val="00C06A16"/>
    <w:rsid w:val="00C06FCB"/>
    <w:rsid w:val="00C1035E"/>
    <w:rsid w:val="00C112FB"/>
    <w:rsid w:val="00C1302F"/>
    <w:rsid w:val="00C16602"/>
    <w:rsid w:val="00C24BDD"/>
    <w:rsid w:val="00C25F4A"/>
    <w:rsid w:val="00C312C8"/>
    <w:rsid w:val="00C348A3"/>
    <w:rsid w:val="00C368F5"/>
    <w:rsid w:val="00C40C80"/>
    <w:rsid w:val="00C4125D"/>
    <w:rsid w:val="00C747DB"/>
    <w:rsid w:val="00C84671"/>
    <w:rsid w:val="00C90D86"/>
    <w:rsid w:val="00C94FC7"/>
    <w:rsid w:val="00C95A8B"/>
    <w:rsid w:val="00CC25B9"/>
    <w:rsid w:val="00CC3CAE"/>
    <w:rsid w:val="00CC3E66"/>
    <w:rsid w:val="00CE26C7"/>
    <w:rsid w:val="00CF712C"/>
    <w:rsid w:val="00D03766"/>
    <w:rsid w:val="00D130E2"/>
    <w:rsid w:val="00D152E0"/>
    <w:rsid w:val="00D171E5"/>
    <w:rsid w:val="00D205C8"/>
    <w:rsid w:val="00D240B6"/>
    <w:rsid w:val="00D24D52"/>
    <w:rsid w:val="00D37291"/>
    <w:rsid w:val="00D45758"/>
    <w:rsid w:val="00D47232"/>
    <w:rsid w:val="00D573A1"/>
    <w:rsid w:val="00D6210B"/>
    <w:rsid w:val="00D6472E"/>
    <w:rsid w:val="00D64B72"/>
    <w:rsid w:val="00D724F3"/>
    <w:rsid w:val="00D80CF9"/>
    <w:rsid w:val="00D84621"/>
    <w:rsid w:val="00D85581"/>
    <w:rsid w:val="00D9109D"/>
    <w:rsid w:val="00D93433"/>
    <w:rsid w:val="00D93B0F"/>
    <w:rsid w:val="00D9702B"/>
    <w:rsid w:val="00DB1E92"/>
    <w:rsid w:val="00DB256D"/>
    <w:rsid w:val="00DB5A98"/>
    <w:rsid w:val="00DB72FC"/>
    <w:rsid w:val="00DC1073"/>
    <w:rsid w:val="00DC4098"/>
    <w:rsid w:val="00DC5480"/>
    <w:rsid w:val="00DC565C"/>
    <w:rsid w:val="00DC6CD6"/>
    <w:rsid w:val="00DC729C"/>
    <w:rsid w:val="00DD0451"/>
    <w:rsid w:val="00DD2A80"/>
    <w:rsid w:val="00DD2ADE"/>
    <w:rsid w:val="00DD3DB8"/>
    <w:rsid w:val="00DE11A7"/>
    <w:rsid w:val="00DE1C15"/>
    <w:rsid w:val="00DE3B87"/>
    <w:rsid w:val="00DE4B98"/>
    <w:rsid w:val="00DF4C39"/>
    <w:rsid w:val="00E002A5"/>
    <w:rsid w:val="00E0146F"/>
    <w:rsid w:val="00E01537"/>
    <w:rsid w:val="00E03357"/>
    <w:rsid w:val="00E100BE"/>
    <w:rsid w:val="00E10F4B"/>
    <w:rsid w:val="00E15EE7"/>
    <w:rsid w:val="00E20B8D"/>
    <w:rsid w:val="00E23AE5"/>
    <w:rsid w:val="00E3548D"/>
    <w:rsid w:val="00E37B7C"/>
    <w:rsid w:val="00E40C43"/>
    <w:rsid w:val="00E424D1"/>
    <w:rsid w:val="00E44896"/>
    <w:rsid w:val="00E5437B"/>
    <w:rsid w:val="00E61ADE"/>
    <w:rsid w:val="00E61B04"/>
    <w:rsid w:val="00E6371A"/>
    <w:rsid w:val="00E64CFC"/>
    <w:rsid w:val="00E653C2"/>
    <w:rsid w:val="00E66BD8"/>
    <w:rsid w:val="00E7080F"/>
    <w:rsid w:val="00E840BB"/>
    <w:rsid w:val="00E8598F"/>
    <w:rsid w:val="00E85D86"/>
    <w:rsid w:val="00E9185D"/>
    <w:rsid w:val="00EA211A"/>
    <w:rsid w:val="00EA4FE4"/>
    <w:rsid w:val="00EB031A"/>
    <w:rsid w:val="00EB0BB5"/>
    <w:rsid w:val="00EB18C5"/>
    <w:rsid w:val="00EB2088"/>
    <w:rsid w:val="00EB347C"/>
    <w:rsid w:val="00EB4404"/>
    <w:rsid w:val="00EB5389"/>
    <w:rsid w:val="00EB6698"/>
    <w:rsid w:val="00EB6C6D"/>
    <w:rsid w:val="00EC45CF"/>
    <w:rsid w:val="00ED148F"/>
    <w:rsid w:val="00ED70E8"/>
    <w:rsid w:val="00EF38A4"/>
    <w:rsid w:val="00EF6FCF"/>
    <w:rsid w:val="00F04424"/>
    <w:rsid w:val="00F04AE6"/>
    <w:rsid w:val="00F070B6"/>
    <w:rsid w:val="00F24CAB"/>
    <w:rsid w:val="00F37674"/>
    <w:rsid w:val="00F40646"/>
    <w:rsid w:val="00F43553"/>
    <w:rsid w:val="00F50B13"/>
    <w:rsid w:val="00F514CA"/>
    <w:rsid w:val="00F54130"/>
    <w:rsid w:val="00F61D61"/>
    <w:rsid w:val="00F66D86"/>
    <w:rsid w:val="00F75550"/>
    <w:rsid w:val="00F778A9"/>
    <w:rsid w:val="00F81E6B"/>
    <w:rsid w:val="00F82F9C"/>
    <w:rsid w:val="00F937B6"/>
    <w:rsid w:val="00F9400E"/>
    <w:rsid w:val="00FA7688"/>
    <w:rsid w:val="00FB0239"/>
    <w:rsid w:val="00FB090D"/>
    <w:rsid w:val="00FB4752"/>
    <w:rsid w:val="00FC0043"/>
    <w:rsid w:val="00FC0084"/>
    <w:rsid w:val="00FC0756"/>
    <w:rsid w:val="00FC6822"/>
    <w:rsid w:val="00FE171F"/>
    <w:rsid w:val="00FF1263"/>
    <w:rsid w:val="00FF2CF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7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9778BB"/>
    <w:rPr>
      <w:sz w:val="16"/>
      <w:szCs w:val="16"/>
    </w:rPr>
  </w:style>
  <w:style w:type="paragraph" w:styleId="Kommentinteksti">
    <w:name w:val="annotation text"/>
    <w:basedOn w:val="Normaali"/>
    <w:link w:val="KommentintekstiChar"/>
    <w:uiPriority w:val="99"/>
    <w:semiHidden/>
    <w:unhideWhenUsed/>
    <w:rsid w:val="009778BB"/>
    <w:pPr>
      <w:spacing w:line="240" w:lineRule="auto"/>
    </w:pPr>
    <w:rPr>
      <w:szCs w:val="20"/>
    </w:rPr>
  </w:style>
  <w:style w:type="character" w:customStyle="1" w:styleId="KommentintekstiChar">
    <w:name w:val="Kommentin teksti Char"/>
    <w:basedOn w:val="Kappaleenoletusfontti"/>
    <w:link w:val="Kommentinteksti"/>
    <w:uiPriority w:val="99"/>
    <w:semiHidden/>
    <w:rsid w:val="009778BB"/>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9707A5"/>
    <w:rPr>
      <w:b/>
      <w:bCs/>
    </w:rPr>
  </w:style>
  <w:style w:type="character" w:customStyle="1" w:styleId="KommentinotsikkoChar">
    <w:name w:val="Kommentin otsikko Char"/>
    <w:basedOn w:val="KommentintekstiChar"/>
    <w:link w:val="Kommentinotsikko"/>
    <w:uiPriority w:val="99"/>
    <w:semiHidden/>
    <w:rsid w:val="009707A5"/>
    <w:rPr>
      <w:rFonts w:ascii="Century Gothic" w:hAnsi="Century Gothic"/>
      <w:b/>
      <w:bCs/>
      <w:sz w:val="20"/>
      <w:szCs w:val="20"/>
    </w:rPr>
  </w:style>
  <w:style w:type="paragraph" w:styleId="NormaaliWWW">
    <w:name w:val="Normal (Web)"/>
    <w:basedOn w:val="Normaali"/>
    <w:uiPriority w:val="99"/>
    <w:unhideWhenUsed/>
    <w:rsid w:val="00C368F5"/>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7">
      <w:bodyDiv w:val="1"/>
      <w:marLeft w:val="0"/>
      <w:marRight w:val="0"/>
      <w:marTop w:val="0"/>
      <w:marBottom w:val="0"/>
      <w:divBdr>
        <w:top w:val="none" w:sz="0" w:space="0" w:color="auto"/>
        <w:left w:val="none" w:sz="0" w:space="0" w:color="auto"/>
        <w:bottom w:val="none" w:sz="0" w:space="0" w:color="auto"/>
        <w:right w:val="none" w:sz="0" w:space="0" w:color="auto"/>
      </w:divBdr>
    </w:div>
    <w:div w:id="35856205">
      <w:bodyDiv w:val="1"/>
      <w:marLeft w:val="0"/>
      <w:marRight w:val="0"/>
      <w:marTop w:val="0"/>
      <w:marBottom w:val="0"/>
      <w:divBdr>
        <w:top w:val="none" w:sz="0" w:space="0" w:color="auto"/>
        <w:left w:val="none" w:sz="0" w:space="0" w:color="auto"/>
        <w:bottom w:val="none" w:sz="0" w:space="0" w:color="auto"/>
        <w:right w:val="none" w:sz="0" w:space="0" w:color="auto"/>
      </w:divBdr>
    </w:div>
    <w:div w:id="35938538">
      <w:bodyDiv w:val="1"/>
      <w:marLeft w:val="0"/>
      <w:marRight w:val="0"/>
      <w:marTop w:val="0"/>
      <w:marBottom w:val="0"/>
      <w:divBdr>
        <w:top w:val="none" w:sz="0" w:space="0" w:color="auto"/>
        <w:left w:val="none" w:sz="0" w:space="0" w:color="auto"/>
        <w:bottom w:val="none" w:sz="0" w:space="0" w:color="auto"/>
        <w:right w:val="none" w:sz="0" w:space="0" w:color="auto"/>
      </w:divBdr>
    </w:div>
    <w:div w:id="85611506">
      <w:bodyDiv w:val="1"/>
      <w:marLeft w:val="0"/>
      <w:marRight w:val="0"/>
      <w:marTop w:val="0"/>
      <w:marBottom w:val="0"/>
      <w:divBdr>
        <w:top w:val="none" w:sz="0" w:space="0" w:color="auto"/>
        <w:left w:val="none" w:sz="0" w:space="0" w:color="auto"/>
        <w:bottom w:val="none" w:sz="0" w:space="0" w:color="auto"/>
        <w:right w:val="none" w:sz="0" w:space="0" w:color="auto"/>
      </w:divBdr>
    </w:div>
    <w:div w:id="213541348">
      <w:bodyDiv w:val="1"/>
      <w:marLeft w:val="0"/>
      <w:marRight w:val="0"/>
      <w:marTop w:val="0"/>
      <w:marBottom w:val="0"/>
      <w:divBdr>
        <w:top w:val="none" w:sz="0" w:space="0" w:color="auto"/>
        <w:left w:val="none" w:sz="0" w:space="0" w:color="auto"/>
        <w:bottom w:val="none" w:sz="0" w:space="0" w:color="auto"/>
        <w:right w:val="none" w:sz="0" w:space="0" w:color="auto"/>
      </w:divBdr>
    </w:div>
    <w:div w:id="276180644">
      <w:bodyDiv w:val="1"/>
      <w:marLeft w:val="0"/>
      <w:marRight w:val="0"/>
      <w:marTop w:val="0"/>
      <w:marBottom w:val="0"/>
      <w:divBdr>
        <w:top w:val="none" w:sz="0" w:space="0" w:color="auto"/>
        <w:left w:val="none" w:sz="0" w:space="0" w:color="auto"/>
        <w:bottom w:val="none" w:sz="0" w:space="0" w:color="auto"/>
        <w:right w:val="none" w:sz="0" w:space="0" w:color="auto"/>
      </w:divBdr>
    </w:div>
    <w:div w:id="295838025">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7350259">
      <w:bodyDiv w:val="1"/>
      <w:marLeft w:val="0"/>
      <w:marRight w:val="0"/>
      <w:marTop w:val="0"/>
      <w:marBottom w:val="0"/>
      <w:divBdr>
        <w:top w:val="none" w:sz="0" w:space="0" w:color="auto"/>
        <w:left w:val="none" w:sz="0" w:space="0" w:color="auto"/>
        <w:bottom w:val="none" w:sz="0" w:space="0" w:color="auto"/>
        <w:right w:val="none" w:sz="0" w:space="0" w:color="auto"/>
      </w:divBdr>
    </w:div>
    <w:div w:id="412552406">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44233674">
      <w:bodyDiv w:val="1"/>
      <w:marLeft w:val="0"/>
      <w:marRight w:val="0"/>
      <w:marTop w:val="0"/>
      <w:marBottom w:val="0"/>
      <w:divBdr>
        <w:top w:val="none" w:sz="0" w:space="0" w:color="auto"/>
        <w:left w:val="none" w:sz="0" w:space="0" w:color="auto"/>
        <w:bottom w:val="none" w:sz="0" w:space="0" w:color="auto"/>
        <w:right w:val="none" w:sz="0" w:space="0" w:color="auto"/>
      </w:divBdr>
    </w:div>
    <w:div w:id="538278060">
      <w:bodyDiv w:val="1"/>
      <w:marLeft w:val="0"/>
      <w:marRight w:val="0"/>
      <w:marTop w:val="0"/>
      <w:marBottom w:val="0"/>
      <w:divBdr>
        <w:top w:val="none" w:sz="0" w:space="0" w:color="auto"/>
        <w:left w:val="none" w:sz="0" w:space="0" w:color="auto"/>
        <w:bottom w:val="none" w:sz="0" w:space="0" w:color="auto"/>
        <w:right w:val="none" w:sz="0" w:space="0" w:color="auto"/>
      </w:divBdr>
    </w:div>
    <w:div w:id="587886709">
      <w:bodyDiv w:val="1"/>
      <w:marLeft w:val="0"/>
      <w:marRight w:val="0"/>
      <w:marTop w:val="0"/>
      <w:marBottom w:val="0"/>
      <w:divBdr>
        <w:top w:val="none" w:sz="0" w:space="0" w:color="auto"/>
        <w:left w:val="none" w:sz="0" w:space="0" w:color="auto"/>
        <w:bottom w:val="none" w:sz="0" w:space="0" w:color="auto"/>
        <w:right w:val="none" w:sz="0" w:space="0" w:color="auto"/>
      </w:divBdr>
    </w:div>
    <w:div w:id="596402457">
      <w:bodyDiv w:val="1"/>
      <w:marLeft w:val="0"/>
      <w:marRight w:val="0"/>
      <w:marTop w:val="0"/>
      <w:marBottom w:val="0"/>
      <w:divBdr>
        <w:top w:val="none" w:sz="0" w:space="0" w:color="auto"/>
        <w:left w:val="none" w:sz="0" w:space="0" w:color="auto"/>
        <w:bottom w:val="none" w:sz="0" w:space="0" w:color="auto"/>
        <w:right w:val="none" w:sz="0" w:space="0" w:color="auto"/>
      </w:divBdr>
    </w:div>
    <w:div w:id="639267130">
      <w:bodyDiv w:val="1"/>
      <w:marLeft w:val="0"/>
      <w:marRight w:val="0"/>
      <w:marTop w:val="0"/>
      <w:marBottom w:val="0"/>
      <w:divBdr>
        <w:top w:val="none" w:sz="0" w:space="0" w:color="auto"/>
        <w:left w:val="none" w:sz="0" w:space="0" w:color="auto"/>
        <w:bottom w:val="none" w:sz="0" w:space="0" w:color="auto"/>
        <w:right w:val="none" w:sz="0" w:space="0" w:color="auto"/>
      </w:divBdr>
    </w:div>
    <w:div w:id="717777560">
      <w:bodyDiv w:val="1"/>
      <w:marLeft w:val="0"/>
      <w:marRight w:val="0"/>
      <w:marTop w:val="0"/>
      <w:marBottom w:val="0"/>
      <w:divBdr>
        <w:top w:val="none" w:sz="0" w:space="0" w:color="auto"/>
        <w:left w:val="none" w:sz="0" w:space="0" w:color="auto"/>
        <w:bottom w:val="none" w:sz="0" w:space="0" w:color="auto"/>
        <w:right w:val="none" w:sz="0" w:space="0" w:color="auto"/>
      </w:divBdr>
    </w:div>
    <w:div w:id="74313922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7450328">
      <w:bodyDiv w:val="1"/>
      <w:marLeft w:val="0"/>
      <w:marRight w:val="0"/>
      <w:marTop w:val="0"/>
      <w:marBottom w:val="0"/>
      <w:divBdr>
        <w:top w:val="none" w:sz="0" w:space="0" w:color="auto"/>
        <w:left w:val="none" w:sz="0" w:space="0" w:color="auto"/>
        <w:bottom w:val="none" w:sz="0" w:space="0" w:color="auto"/>
        <w:right w:val="none" w:sz="0" w:space="0" w:color="auto"/>
      </w:divBdr>
    </w:div>
    <w:div w:id="884760579">
      <w:bodyDiv w:val="1"/>
      <w:marLeft w:val="0"/>
      <w:marRight w:val="0"/>
      <w:marTop w:val="0"/>
      <w:marBottom w:val="0"/>
      <w:divBdr>
        <w:top w:val="none" w:sz="0" w:space="0" w:color="auto"/>
        <w:left w:val="none" w:sz="0" w:space="0" w:color="auto"/>
        <w:bottom w:val="none" w:sz="0" w:space="0" w:color="auto"/>
        <w:right w:val="none" w:sz="0" w:space="0" w:color="auto"/>
      </w:divBdr>
    </w:div>
    <w:div w:id="891578514">
      <w:bodyDiv w:val="1"/>
      <w:marLeft w:val="0"/>
      <w:marRight w:val="0"/>
      <w:marTop w:val="0"/>
      <w:marBottom w:val="0"/>
      <w:divBdr>
        <w:top w:val="none" w:sz="0" w:space="0" w:color="auto"/>
        <w:left w:val="none" w:sz="0" w:space="0" w:color="auto"/>
        <w:bottom w:val="none" w:sz="0" w:space="0" w:color="auto"/>
        <w:right w:val="none" w:sz="0" w:space="0" w:color="auto"/>
      </w:divBdr>
    </w:div>
    <w:div w:id="911819042">
      <w:bodyDiv w:val="1"/>
      <w:marLeft w:val="0"/>
      <w:marRight w:val="0"/>
      <w:marTop w:val="0"/>
      <w:marBottom w:val="0"/>
      <w:divBdr>
        <w:top w:val="none" w:sz="0" w:space="0" w:color="auto"/>
        <w:left w:val="none" w:sz="0" w:space="0" w:color="auto"/>
        <w:bottom w:val="none" w:sz="0" w:space="0" w:color="auto"/>
        <w:right w:val="none" w:sz="0" w:space="0" w:color="auto"/>
      </w:divBdr>
    </w:div>
    <w:div w:id="997883199">
      <w:bodyDiv w:val="1"/>
      <w:marLeft w:val="0"/>
      <w:marRight w:val="0"/>
      <w:marTop w:val="0"/>
      <w:marBottom w:val="0"/>
      <w:divBdr>
        <w:top w:val="none" w:sz="0" w:space="0" w:color="auto"/>
        <w:left w:val="none" w:sz="0" w:space="0" w:color="auto"/>
        <w:bottom w:val="none" w:sz="0" w:space="0" w:color="auto"/>
        <w:right w:val="none" w:sz="0" w:space="0" w:color="auto"/>
      </w:divBdr>
    </w:div>
    <w:div w:id="1002780290">
      <w:bodyDiv w:val="1"/>
      <w:marLeft w:val="0"/>
      <w:marRight w:val="0"/>
      <w:marTop w:val="0"/>
      <w:marBottom w:val="0"/>
      <w:divBdr>
        <w:top w:val="none" w:sz="0" w:space="0" w:color="auto"/>
        <w:left w:val="none" w:sz="0" w:space="0" w:color="auto"/>
        <w:bottom w:val="none" w:sz="0" w:space="0" w:color="auto"/>
        <w:right w:val="none" w:sz="0" w:space="0" w:color="auto"/>
      </w:divBdr>
    </w:div>
    <w:div w:id="102671481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7188853">
      <w:bodyDiv w:val="1"/>
      <w:marLeft w:val="0"/>
      <w:marRight w:val="0"/>
      <w:marTop w:val="0"/>
      <w:marBottom w:val="0"/>
      <w:divBdr>
        <w:top w:val="none" w:sz="0" w:space="0" w:color="auto"/>
        <w:left w:val="none" w:sz="0" w:space="0" w:color="auto"/>
        <w:bottom w:val="none" w:sz="0" w:space="0" w:color="auto"/>
        <w:right w:val="none" w:sz="0" w:space="0" w:color="auto"/>
      </w:divBdr>
    </w:div>
    <w:div w:id="1131903374">
      <w:bodyDiv w:val="1"/>
      <w:marLeft w:val="0"/>
      <w:marRight w:val="0"/>
      <w:marTop w:val="0"/>
      <w:marBottom w:val="0"/>
      <w:divBdr>
        <w:top w:val="none" w:sz="0" w:space="0" w:color="auto"/>
        <w:left w:val="none" w:sz="0" w:space="0" w:color="auto"/>
        <w:bottom w:val="none" w:sz="0" w:space="0" w:color="auto"/>
        <w:right w:val="none" w:sz="0" w:space="0" w:color="auto"/>
      </w:divBdr>
    </w:div>
    <w:div w:id="1142163282">
      <w:bodyDiv w:val="1"/>
      <w:marLeft w:val="0"/>
      <w:marRight w:val="0"/>
      <w:marTop w:val="0"/>
      <w:marBottom w:val="0"/>
      <w:divBdr>
        <w:top w:val="none" w:sz="0" w:space="0" w:color="auto"/>
        <w:left w:val="none" w:sz="0" w:space="0" w:color="auto"/>
        <w:bottom w:val="none" w:sz="0" w:space="0" w:color="auto"/>
        <w:right w:val="none" w:sz="0" w:space="0" w:color="auto"/>
      </w:divBdr>
    </w:div>
    <w:div w:id="1157573842">
      <w:bodyDiv w:val="1"/>
      <w:marLeft w:val="0"/>
      <w:marRight w:val="0"/>
      <w:marTop w:val="0"/>
      <w:marBottom w:val="0"/>
      <w:divBdr>
        <w:top w:val="none" w:sz="0" w:space="0" w:color="auto"/>
        <w:left w:val="none" w:sz="0" w:space="0" w:color="auto"/>
        <w:bottom w:val="none" w:sz="0" w:space="0" w:color="auto"/>
        <w:right w:val="none" w:sz="0" w:space="0" w:color="auto"/>
      </w:divBdr>
    </w:div>
    <w:div w:id="118012533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14973130">
      <w:bodyDiv w:val="1"/>
      <w:marLeft w:val="0"/>
      <w:marRight w:val="0"/>
      <w:marTop w:val="0"/>
      <w:marBottom w:val="0"/>
      <w:divBdr>
        <w:top w:val="none" w:sz="0" w:space="0" w:color="auto"/>
        <w:left w:val="none" w:sz="0" w:space="0" w:color="auto"/>
        <w:bottom w:val="none" w:sz="0" w:space="0" w:color="auto"/>
        <w:right w:val="none" w:sz="0" w:space="0" w:color="auto"/>
      </w:divBdr>
    </w:div>
    <w:div w:id="1227455599">
      <w:bodyDiv w:val="1"/>
      <w:marLeft w:val="0"/>
      <w:marRight w:val="0"/>
      <w:marTop w:val="0"/>
      <w:marBottom w:val="0"/>
      <w:divBdr>
        <w:top w:val="none" w:sz="0" w:space="0" w:color="auto"/>
        <w:left w:val="none" w:sz="0" w:space="0" w:color="auto"/>
        <w:bottom w:val="none" w:sz="0" w:space="0" w:color="auto"/>
        <w:right w:val="none" w:sz="0" w:space="0" w:color="auto"/>
      </w:divBdr>
    </w:div>
    <w:div w:id="1242645130">
      <w:bodyDiv w:val="1"/>
      <w:marLeft w:val="0"/>
      <w:marRight w:val="0"/>
      <w:marTop w:val="0"/>
      <w:marBottom w:val="0"/>
      <w:divBdr>
        <w:top w:val="none" w:sz="0" w:space="0" w:color="auto"/>
        <w:left w:val="none" w:sz="0" w:space="0" w:color="auto"/>
        <w:bottom w:val="none" w:sz="0" w:space="0" w:color="auto"/>
        <w:right w:val="none" w:sz="0" w:space="0" w:color="auto"/>
      </w:divBdr>
    </w:div>
    <w:div w:id="1306082468">
      <w:bodyDiv w:val="1"/>
      <w:marLeft w:val="0"/>
      <w:marRight w:val="0"/>
      <w:marTop w:val="0"/>
      <w:marBottom w:val="0"/>
      <w:divBdr>
        <w:top w:val="none" w:sz="0" w:space="0" w:color="auto"/>
        <w:left w:val="none" w:sz="0" w:space="0" w:color="auto"/>
        <w:bottom w:val="none" w:sz="0" w:space="0" w:color="auto"/>
        <w:right w:val="none" w:sz="0" w:space="0" w:color="auto"/>
      </w:divBdr>
    </w:div>
    <w:div w:id="1315838105">
      <w:bodyDiv w:val="1"/>
      <w:marLeft w:val="0"/>
      <w:marRight w:val="0"/>
      <w:marTop w:val="0"/>
      <w:marBottom w:val="0"/>
      <w:divBdr>
        <w:top w:val="none" w:sz="0" w:space="0" w:color="auto"/>
        <w:left w:val="none" w:sz="0" w:space="0" w:color="auto"/>
        <w:bottom w:val="none" w:sz="0" w:space="0" w:color="auto"/>
        <w:right w:val="none" w:sz="0" w:space="0" w:color="auto"/>
      </w:divBdr>
    </w:div>
    <w:div w:id="1331522759">
      <w:bodyDiv w:val="1"/>
      <w:marLeft w:val="0"/>
      <w:marRight w:val="0"/>
      <w:marTop w:val="0"/>
      <w:marBottom w:val="0"/>
      <w:divBdr>
        <w:top w:val="none" w:sz="0" w:space="0" w:color="auto"/>
        <w:left w:val="none" w:sz="0" w:space="0" w:color="auto"/>
        <w:bottom w:val="none" w:sz="0" w:space="0" w:color="auto"/>
        <w:right w:val="none" w:sz="0" w:space="0" w:color="auto"/>
      </w:divBdr>
    </w:div>
    <w:div w:id="1332947595">
      <w:bodyDiv w:val="1"/>
      <w:marLeft w:val="0"/>
      <w:marRight w:val="0"/>
      <w:marTop w:val="0"/>
      <w:marBottom w:val="0"/>
      <w:divBdr>
        <w:top w:val="none" w:sz="0" w:space="0" w:color="auto"/>
        <w:left w:val="none" w:sz="0" w:space="0" w:color="auto"/>
        <w:bottom w:val="none" w:sz="0" w:space="0" w:color="auto"/>
        <w:right w:val="none" w:sz="0" w:space="0" w:color="auto"/>
      </w:divBdr>
    </w:div>
    <w:div w:id="1352141915">
      <w:bodyDiv w:val="1"/>
      <w:marLeft w:val="0"/>
      <w:marRight w:val="0"/>
      <w:marTop w:val="0"/>
      <w:marBottom w:val="0"/>
      <w:divBdr>
        <w:top w:val="none" w:sz="0" w:space="0" w:color="auto"/>
        <w:left w:val="none" w:sz="0" w:space="0" w:color="auto"/>
        <w:bottom w:val="none" w:sz="0" w:space="0" w:color="auto"/>
        <w:right w:val="none" w:sz="0" w:space="0" w:color="auto"/>
      </w:divBdr>
    </w:div>
    <w:div w:id="1368674409">
      <w:bodyDiv w:val="1"/>
      <w:marLeft w:val="0"/>
      <w:marRight w:val="0"/>
      <w:marTop w:val="0"/>
      <w:marBottom w:val="0"/>
      <w:divBdr>
        <w:top w:val="none" w:sz="0" w:space="0" w:color="auto"/>
        <w:left w:val="none" w:sz="0" w:space="0" w:color="auto"/>
        <w:bottom w:val="none" w:sz="0" w:space="0" w:color="auto"/>
        <w:right w:val="none" w:sz="0" w:space="0" w:color="auto"/>
      </w:divBdr>
    </w:div>
    <w:div w:id="1377923075">
      <w:bodyDiv w:val="1"/>
      <w:marLeft w:val="0"/>
      <w:marRight w:val="0"/>
      <w:marTop w:val="0"/>
      <w:marBottom w:val="0"/>
      <w:divBdr>
        <w:top w:val="none" w:sz="0" w:space="0" w:color="auto"/>
        <w:left w:val="none" w:sz="0" w:space="0" w:color="auto"/>
        <w:bottom w:val="none" w:sz="0" w:space="0" w:color="auto"/>
        <w:right w:val="none" w:sz="0" w:space="0" w:color="auto"/>
      </w:divBdr>
    </w:div>
    <w:div w:id="1478062073">
      <w:bodyDiv w:val="1"/>
      <w:marLeft w:val="0"/>
      <w:marRight w:val="0"/>
      <w:marTop w:val="0"/>
      <w:marBottom w:val="0"/>
      <w:divBdr>
        <w:top w:val="none" w:sz="0" w:space="0" w:color="auto"/>
        <w:left w:val="none" w:sz="0" w:space="0" w:color="auto"/>
        <w:bottom w:val="none" w:sz="0" w:space="0" w:color="auto"/>
        <w:right w:val="none" w:sz="0" w:space="0" w:color="auto"/>
      </w:divBdr>
    </w:div>
    <w:div w:id="1478109969">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62789329">
      <w:bodyDiv w:val="1"/>
      <w:marLeft w:val="0"/>
      <w:marRight w:val="0"/>
      <w:marTop w:val="0"/>
      <w:marBottom w:val="0"/>
      <w:divBdr>
        <w:top w:val="none" w:sz="0" w:space="0" w:color="auto"/>
        <w:left w:val="none" w:sz="0" w:space="0" w:color="auto"/>
        <w:bottom w:val="none" w:sz="0" w:space="0" w:color="auto"/>
        <w:right w:val="none" w:sz="0" w:space="0" w:color="auto"/>
      </w:divBdr>
    </w:div>
    <w:div w:id="1587765863">
      <w:bodyDiv w:val="1"/>
      <w:marLeft w:val="0"/>
      <w:marRight w:val="0"/>
      <w:marTop w:val="0"/>
      <w:marBottom w:val="0"/>
      <w:divBdr>
        <w:top w:val="none" w:sz="0" w:space="0" w:color="auto"/>
        <w:left w:val="none" w:sz="0" w:space="0" w:color="auto"/>
        <w:bottom w:val="none" w:sz="0" w:space="0" w:color="auto"/>
        <w:right w:val="none" w:sz="0" w:space="0" w:color="auto"/>
      </w:divBdr>
    </w:div>
    <w:div w:id="1607040781">
      <w:bodyDiv w:val="1"/>
      <w:marLeft w:val="0"/>
      <w:marRight w:val="0"/>
      <w:marTop w:val="0"/>
      <w:marBottom w:val="0"/>
      <w:divBdr>
        <w:top w:val="none" w:sz="0" w:space="0" w:color="auto"/>
        <w:left w:val="none" w:sz="0" w:space="0" w:color="auto"/>
        <w:bottom w:val="none" w:sz="0" w:space="0" w:color="auto"/>
        <w:right w:val="none" w:sz="0" w:space="0" w:color="auto"/>
      </w:divBdr>
    </w:div>
    <w:div w:id="1659921391">
      <w:bodyDiv w:val="1"/>
      <w:marLeft w:val="0"/>
      <w:marRight w:val="0"/>
      <w:marTop w:val="0"/>
      <w:marBottom w:val="0"/>
      <w:divBdr>
        <w:top w:val="none" w:sz="0" w:space="0" w:color="auto"/>
        <w:left w:val="none" w:sz="0" w:space="0" w:color="auto"/>
        <w:bottom w:val="none" w:sz="0" w:space="0" w:color="auto"/>
        <w:right w:val="none" w:sz="0" w:space="0" w:color="auto"/>
      </w:divBdr>
    </w:div>
    <w:div w:id="1680544597">
      <w:bodyDiv w:val="1"/>
      <w:marLeft w:val="0"/>
      <w:marRight w:val="0"/>
      <w:marTop w:val="0"/>
      <w:marBottom w:val="0"/>
      <w:divBdr>
        <w:top w:val="none" w:sz="0" w:space="0" w:color="auto"/>
        <w:left w:val="none" w:sz="0" w:space="0" w:color="auto"/>
        <w:bottom w:val="none" w:sz="0" w:space="0" w:color="auto"/>
        <w:right w:val="none" w:sz="0" w:space="0" w:color="auto"/>
      </w:divBdr>
    </w:div>
    <w:div w:id="1705323794">
      <w:bodyDiv w:val="1"/>
      <w:marLeft w:val="0"/>
      <w:marRight w:val="0"/>
      <w:marTop w:val="0"/>
      <w:marBottom w:val="0"/>
      <w:divBdr>
        <w:top w:val="none" w:sz="0" w:space="0" w:color="auto"/>
        <w:left w:val="none" w:sz="0" w:space="0" w:color="auto"/>
        <w:bottom w:val="none" w:sz="0" w:space="0" w:color="auto"/>
        <w:right w:val="none" w:sz="0" w:space="0" w:color="auto"/>
      </w:divBdr>
    </w:div>
    <w:div w:id="181143865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3932147">
      <w:bodyDiv w:val="1"/>
      <w:marLeft w:val="0"/>
      <w:marRight w:val="0"/>
      <w:marTop w:val="0"/>
      <w:marBottom w:val="0"/>
      <w:divBdr>
        <w:top w:val="none" w:sz="0" w:space="0" w:color="auto"/>
        <w:left w:val="none" w:sz="0" w:space="0" w:color="auto"/>
        <w:bottom w:val="none" w:sz="0" w:space="0" w:color="auto"/>
        <w:right w:val="none" w:sz="0" w:space="0" w:color="auto"/>
      </w:divBdr>
    </w:div>
    <w:div w:id="1968001830">
      <w:bodyDiv w:val="1"/>
      <w:marLeft w:val="0"/>
      <w:marRight w:val="0"/>
      <w:marTop w:val="0"/>
      <w:marBottom w:val="0"/>
      <w:divBdr>
        <w:top w:val="none" w:sz="0" w:space="0" w:color="auto"/>
        <w:left w:val="none" w:sz="0" w:space="0" w:color="auto"/>
        <w:bottom w:val="none" w:sz="0" w:space="0" w:color="auto"/>
        <w:right w:val="none" w:sz="0" w:space="0" w:color="auto"/>
      </w:divBdr>
    </w:div>
    <w:div w:id="1980331889">
      <w:bodyDiv w:val="1"/>
      <w:marLeft w:val="0"/>
      <w:marRight w:val="0"/>
      <w:marTop w:val="0"/>
      <w:marBottom w:val="0"/>
      <w:divBdr>
        <w:top w:val="none" w:sz="0" w:space="0" w:color="auto"/>
        <w:left w:val="none" w:sz="0" w:space="0" w:color="auto"/>
        <w:bottom w:val="none" w:sz="0" w:space="0" w:color="auto"/>
        <w:right w:val="none" w:sz="0" w:space="0" w:color="auto"/>
      </w:divBdr>
    </w:div>
    <w:div w:id="2060860866">
      <w:bodyDiv w:val="1"/>
      <w:marLeft w:val="0"/>
      <w:marRight w:val="0"/>
      <w:marTop w:val="0"/>
      <w:marBottom w:val="0"/>
      <w:divBdr>
        <w:top w:val="none" w:sz="0" w:space="0" w:color="auto"/>
        <w:left w:val="none" w:sz="0" w:space="0" w:color="auto"/>
        <w:bottom w:val="none" w:sz="0" w:space="0" w:color="auto"/>
        <w:right w:val="none" w:sz="0" w:space="0" w:color="auto"/>
      </w:divBdr>
    </w:div>
    <w:div w:id="20804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ihr.osce.org/sites/default/files/documents/official_documents/2026/03/odgal0009c1%20ODIHR%20NV%2082-2026%20report_Moscow%20Mechanism%20invoked%20in%20respect%20of%20Georgia_0.pdf" TargetMode="External"/><Relationship Id="rId18" Type="http://schemas.openxmlformats.org/officeDocument/2006/relationships/hyperlink" Target="https://www.hrw.org/world-report/2026/country-chapters/georgia" TargetMode="External"/><Relationship Id="rId26" Type="http://schemas.openxmlformats.org/officeDocument/2006/relationships/hyperlink" Target="https://maatieto.migri.fi/base/2724d19a-5460-485d-bff8-6cd8f75f86d5/countryDocument/61899112-5ba2-4c44-8b04-62877b1e90de" TargetMode="External"/><Relationship Id="rId39" Type="http://schemas.openxmlformats.org/officeDocument/2006/relationships/glossaryDocument" Target="glossary/document.xml"/><Relationship Id="rId21" Type="http://schemas.openxmlformats.org/officeDocument/2006/relationships/hyperlink" Target="https://www.hrw.org/news/2025/12/04/georgia-repressive-laws-effectively-criminalize-peaceful-protests" TargetMode="External"/><Relationship Id="rId34" Type="http://schemas.openxmlformats.org/officeDocument/2006/relationships/hyperlink" Target="https://www.voanews.com/a/hundreds-of-arrests-and-mysterious-beatings-as-georgia-cracks-down-on-pro-eu-protests/7897114.html"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rc.ge/files/380anual2024eng.pdf" TargetMode="External"/><Relationship Id="rId29" Type="http://schemas.openxmlformats.org/officeDocument/2006/relationships/hyperlink" Target="https://www.omct.org/site-resources/images/Under-Siege-Georgia-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initiative.net/wp-content/uploads/2025/08/Liam-OShea-Shadow-states-High-level-corruption-and-state-capture-in-the-South-Caucasus-GI-TOC-August-2025.pdf" TargetMode="External"/><Relationship Id="rId24" Type="http://schemas.openxmlformats.org/officeDocument/2006/relationships/hyperlink" Target="https://maatieto.migri.fi/base/2724d19a-5460-485d-bff8-6cd8f75f86d5/countryDocument/9b5a4058-87c9-4b98-9edb-5dc75d23dc9e" TargetMode="External"/><Relationship Id="rId32" Type="http://schemas.openxmlformats.org/officeDocument/2006/relationships/hyperlink" Target="https://rsf.org/en/unprecedented-crackdown-georgia-600-attacks-against-press-one-year" TargetMode="External"/><Relationship Id="rId37" Type="http://schemas.openxmlformats.org/officeDocument/2006/relationships/footer" Target="footer1.xml"/><Relationship Id="rId40" Type="http://schemas.openxmlformats.org/officeDocument/2006/relationships/theme" Target="theme/theme1.xml"/><Relationship Id="rId45"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freedomhouse.org/country/georgia/freedom-world/2025" TargetMode="External"/><Relationship Id="rId23" Type="http://schemas.openxmlformats.org/officeDocument/2006/relationships/hyperlink" Target="https://www.idea.int/democracytracker/country/georgia" TargetMode="External"/><Relationship Id="rId28" Type="http://schemas.openxmlformats.org/officeDocument/2006/relationships/hyperlink" Target="https://coi.euaa.europa.eu/administration/poland/PLib/357.pdf" TargetMode="External"/><Relationship Id="rId36" Type="http://schemas.openxmlformats.org/officeDocument/2006/relationships/header" Target="header2.xml"/><Relationship Id="rId10" Type="http://schemas.openxmlformats.org/officeDocument/2006/relationships/hyperlink" Target="https://www.britannica.com/place/Georgia" TargetMode="External"/><Relationship Id="rId19" Type="http://schemas.openxmlformats.org/officeDocument/2006/relationships/hyperlink" Target="https://www.hrw.org/news/2026/02/09/georgia-initiates-laws-severely-curtailing-civil-and-political-rights" TargetMode="External"/><Relationship Id="rId31" Type="http://schemas.openxmlformats.org/officeDocument/2006/relationships/hyperlink" Target="https://rsf.org/en/country/georgia"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balkaninsight.com/2026/01/28/from-georgia-to-serbia-surveillance-is-being-weaponised-against-dissent/bi/" TargetMode="External"/><Relationship Id="rId14" Type="http://schemas.openxmlformats.org/officeDocument/2006/relationships/hyperlink" Target="https://www.ecoi.net/en/file/local/2132163/georgia-report-2025.pdf" TargetMode="External"/><Relationship Id="rId22" Type="http://schemas.openxmlformats.org/officeDocument/2006/relationships/hyperlink" Target="https://www.ibanet.org/Georgia-crackdown-on-dissent-continues-at-home-and-abroad" TargetMode="External"/><Relationship Id="rId27" Type="http://schemas.openxmlformats.org/officeDocument/2006/relationships/hyperlink" Target="https://oc-media.org/georgia-adopts-new-grant-restrictions-and-bans-questioning-government-legitimacy/" TargetMode="External"/><Relationship Id="rId30" Type="http://schemas.openxmlformats.org/officeDocument/2006/relationships/hyperlink" Target="https://www.rferl.org/a/ukraine-protest-glossary-euromaydan/25190085.html" TargetMode="External"/><Relationship Id="rId35" Type="http://schemas.openxmlformats.org/officeDocument/2006/relationships/header" Target="header1.xml"/><Relationship Id="rId43" Type="http://schemas.openxmlformats.org/officeDocument/2006/relationships/customXml" Target="../customXml/item4.xml"/><Relationship Id="rId8" Type="http://schemas.openxmlformats.org/officeDocument/2006/relationships/hyperlink" Target="https://www.amnesty.org/en/latest/news/2025/10/georgia-elections-marred-by-severe-reprisals-and-risk-of-further-violence/" TargetMode="External"/><Relationship Id="rId3" Type="http://schemas.openxmlformats.org/officeDocument/2006/relationships/styles" Target="styles.xml"/><Relationship Id="rId12" Type="http://schemas.openxmlformats.org/officeDocument/2006/relationships/hyperlink" Target="https://admin.gyla.ge/uploads_script/publications/pdf/HUMAN%20RIGHTS%20SITUATION%20IN%20GEORGIA%202025.pdf" TargetMode="External"/><Relationship Id="rId17" Type="http://schemas.openxmlformats.org/officeDocument/2006/relationships/hyperlink" Target="https://www.humanrightsresearch.org/post/beyond-the-barricades-human-rights-protest-and-the-rule-of-law-in-georgia" TargetMode="External"/><Relationship Id="rId25" Type="http://schemas.openxmlformats.org/officeDocument/2006/relationships/hyperlink" Target="https://maatieto.migri.fi/base/2724d19a-5460-485d-bff8-6cd8f75f86d5/countryDocument/1f4e93e8-ca67-4914-b815-a4bb711d0439" TargetMode="External"/><Relationship Id="rId33" Type="http://schemas.openxmlformats.org/officeDocument/2006/relationships/hyperlink" Target="https://www.ecoi.net/en/document/2128516.html" TargetMode="External"/><Relationship Id="rId38" Type="http://schemas.openxmlformats.org/officeDocument/2006/relationships/fontTable" Target="fontTable.xml"/><Relationship Id="rId20" Type="http://schemas.openxmlformats.org/officeDocument/2006/relationships/hyperlink" Target="https://www.hrw.org/news/2026/01/23/georgia-police-arbitrarily-detain-peaceful-protesters" TargetMode="External"/><Relationship Id="rId41"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4301A7AA774380933A97BDDCF442DA"/>
        <w:category>
          <w:name w:val="Yleiset"/>
          <w:gallery w:val="placeholder"/>
        </w:category>
        <w:types>
          <w:type w:val="bbPlcHdr"/>
        </w:types>
        <w:behaviors>
          <w:behavior w:val="content"/>
        </w:behaviors>
        <w:guid w:val="{E9CEA6A4-721C-4504-8D74-CBFFE82CB935}"/>
      </w:docPartPr>
      <w:docPartBody>
        <w:p w:rsidR="00D77206" w:rsidRDefault="00322E81">
          <w:pPr>
            <w:pStyle w:val="954301A7AA774380933A97BDDCF442DA"/>
          </w:pPr>
          <w:r w:rsidRPr="00AA10D2">
            <w:rPr>
              <w:rStyle w:val="Paikkamerkkiteksti"/>
            </w:rPr>
            <w:t>Kirjoita tekstiä napsauttamalla tai napauttamalla tätä.</w:t>
          </w:r>
        </w:p>
      </w:docPartBody>
    </w:docPart>
    <w:docPart>
      <w:docPartPr>
        <w:name w:val="A6F78414E1E14EA1ABCA6FF4E434F2E2"/>
        <w:category>
          <w:name w:val="Yleiset"/>
          <w:gallery w:val="placeholder"/>
        </w:category>
        <w:types>
          <w:type w:val="bbPlcHdr"/>
        </w:types>
        <w:behaviors>
          <w:behavior w:val="content"/>
        </w:behaviors>
        <w:guid w:val="{B0777342-33EB-48DD-AC1D-19A751CDC056}"/>
      </w:docPartPr>
      <w:docPartBody>
        <w:p w:rsidR="00D77206" w:rsidRDefault="00322E81">
          <w:pPr>
            <w:pStyle w:val="A6F78414E1E14EA1ABCA6FF4E434F2E2"/>
          </w:pPr>
          <w:r w:rsidRPr="00AA10D2">
            <w:rPr>
              <w:rStyle w:val="Paikkamerkkiteksti"/>
            </w:rPr>
            <w:t>Kirjoita tekstiä napsauttamalla tai napauttamalla tätä.</w:t>
          </w:r>
        </w:p>
      </w:docPartBody>
    </w:docPart>
    <w:docPart>
      <w:docPartPr>
        <w:name w:val="8BD11B0BDFF74B4E9C22F239C9633D4D"/>
        <w:category>
          <w:name w:val="Yleiset"/>
          <w:gallery w:val="placeholder"/>
        </w:category>
        <w:types>
          <w:type w:val="bbPlcHdr"/>
        </w:types>
        <w:behaviors>
          <w:behavior w:val="content"/>
        </w:behaviors>
        <w:guid w:val="{C1C73D10-5925-479F-9866-869CAAD27F6A}"/>
      </w:docPartPr>
      <w:docPartBody>
        <w:p w:rsidR="00D77206" w:rsidRDefault="00322E81">
          <w:pPr>
            <w:pStyle w:val="8BD11B0BDFF74B4E9C22F239C9633D4D"/>
          </w:pPr>
          <w:r w:rsidRPr="00810134">
            <w:rPr>
              <w:rStyle w:val="Paikkamerkkiteksti"/>
              <w:lang w:val="en-GB"/>
            </w:rPr>
            <w:t>.</w:t>
          </w:r>
        </w:p>
      </w:docPartBody>
    </w:docPart>
    <w:docPart>
      <w:docPartPr>
        <w:name w:val="97E5EA7848C245D091707A27233B0BF3"/>
        <w:category>
          <w:name w:val="Yleiset"/>
          <w:gallery w:val="placeholder"/>
        </w:category>
        <w:types>
          <w:type w:val="bbPlcHdr"/>
        </w:types>
        <w:behaviors>
          <w:behavior w:val="content"/>
        </w:behaviors>
        <w:guid w:val="{77FB8B9A-6487-44D0-BD39-953EB465B8BB}"/>
      </w:docPartPr>
      <w:docPartBody>
        <w:p w:rsidR="00D77206" w:rsidRDefault="00322E81">
          <w:pPr>
            <w:pStyle w:val="97E5EA7848C245D091707A27233B0BF3"/>
          </w:pPr>
          <w:r w:rsidRPr="00AA10D2">
            <w:rPr>
              <w:rStyle w:val="Paikkamerkkiteksti"/>
            </w:rPr>
            <w:t>Kirjoita tekstiä napsauttamalla tai napauttamalla tätä.</w:t>
          </w:r>
        </w:p>
      </w:docPartBody>
    </w:docPart>
    <w:docPart>
      <w:docPartPr>
        <w:name w:val="FCFEBE1AD5564E4D839F472D34BC3CA3"/>
        <w:category>
          <w:name w:val="Yleiset"/>
          <w:gallery w:val="placeholder"/>
        </w:category>
        <w:types>
          <w:type w:val="bbPlcHdr"/>
        </w:types>
        <w:behaviors>
          <w:behavior w:val="content"/>
        </w:behaviors>
        <w:guid w:val="{966FE158-D944-4D0C-9D26-98AED3F66B41}"/>
      </w:docPartPr>
      <w:docPartBody>
        <w:p w:rsidR="00D77206" w:rsidRDefault="00322E81">
          <w:pPr>
            <w:pStyle w:val="FCFEBE1AD5564E4D839F472D34BC3CA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81"/>
    <w:rsid w:val="002C6F45"/>
    <w:rsid w:val="00322E81"/>
    <w:rsid w:val="006B0815"/>
    <w:rsid w:val="00AC6F4A"/>
    <w:rsid w:val="00B62519"/>
    <w:rsid w:val="00D772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54301A7AA774380933A97BDDCF442DA">
    <w:name w:val="954301A7AA774380933A97BDDCF442DA"/>
  </w:style>
  <w:style w:type="paragraph" w:customStyle="1" w:styleId="A6F78414E1E14EA1ABCA6FF4E434F2E2">
    <w:name w:val="A6F78414E1E14EA1ABCA6FF4E434F2E2"/>
  </w:style>
  <w:style w:type="paragraph" w:customStyle="1" w:styleId="8BD11B0BDFF74B4E9C22F239C9633D4D">
    <w:name w:val="8BD11B0BDFF74B4E9C22F239C9633D4D"/>
  </w:style>
  <w:style w:type="paragraph" w:customStyle="1" w:styleId="97E5EA7848C245D091707A27233B0BF3">
    <w:name w:val="97E5EA7848C245D091707A27233B0BF3"/>
  </w:style>
  <w:style w:type="paragraph" w:customStyle="1" w:styleId="FCFEBE1AD5564E4D839F472D34BC3CA3">
    <w:name w:val="FCFEBE1AD5564E4D839F472D34BC3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POLITICAL INSTITUTIONS,POLITICAL ACTIVITY,POLITICAL PARTIES,ELECTIONS,DEMOCRACY,VOTERS,PARLIAMENTS,CIVIL AND POLITICAL RIGHTS,OSCE,NATIONAL LEGISLATION,FUNDAMENTAL RIGHTS,GOVERNMENTS (COUNTRIES),HUMAN RIGHTS VIOLATIONS,INFRINGEMENTS,IMPUNITY,MEDIA</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Georgia</TermName>
          <TermId xmlns="http://schemas.microsoft.com/office/infopath/2007/PartnerControls">b7058126-17e4-4908-9cba-1604f88f04c1</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2026-03-17T23:00:00+00:00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62</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Georgia / Poliittinen tilanne, turvallisuustilanne, ihmisoikeusrikkomukset, oikeusvaltion tilanne, viranomaissuojelun saatavuus, ilmaisun- ja mielipiteenvapaus
Georgia / Political situation, security situation, human rights violations, rule of law, access to state protection, freedom of expression and opinion
Kysymykset
1. Millainen on Georgian yleinen poliittinen tilanne?
2. Millainen on Georgian turvallisuustilanne?
3. Millaisia ihmisoikeusrikkomuksia Georgiassa on raportoitu?
4. Millainen on Georgian oikeusvaltion tilanne ja viranomaissuojelun saatavuus?
5. Millainen on Georgian ilmaisun- ja mielipiteenvapauden tilanne?
Questions
1. What is the general political situation in Georgia?
2. What is the security situation in Georgia?
3. What kinds of human rights violations have been reported in Georgia?
4. What is the state of the rule of law in Georgia, and how accessible is protection from the authorities?
5. What is the situation regarding freedom</COIDocAbstract>
    <COIWSGroundsRejection xmlns="b5be3156-7e14-46bc-bfca-5c242eb3de3f" xsi:nil="true"/>
    <COIDocAuthors xmlns="e235e197-502c-49f1-8696-39d199cd5131">
      <Value>143</Value>
    </COIDocAuthors>
    <COIDocID xmlns="b5be3156-7e14-46bc-bfca-5c242eb3de3f">1014</COIDocID>
    <_dlc_DocId xmlns="e235e197-502c-49f1-8696-39d199cd5131">FI011-215589946-12909</_dlc_DocId>
    <_dlc_DocIdUrl xmlns="e235e197-502c-49f1-8696-39d199cd5131">
      <Url>https://coiadmin.euaa.europa.eu/administration/finland/_layouts/15/DocIdRedir.aspx?ID=FI011-215589946-12909</Url>
      <Description>FI011-215589946-12909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CA43A971-6A96-4052-B481-BD7A3F04D57C}"/>
</file>

<file path=customXml/itemProps3.xml><?xml version="1.0" encoding="utf-8"?>
<ds:datastoreItem xmlns:ds="http://schemas.openxmlformats.org/officeDocument/2006/customXml" ds:itemID="{9DF26C66-6BF9-4D2A-9415-33AD7952655F}"/>
</file>

<file path=customXml/itemProps4.xml><?xml version="1.0" encoding="utf-8"?>
<ds:datastoreItem xmlns:ds="http://schemas.openxmlformats.org/officeDocument/2006/customXml" ds:itemID="{FC60E16A-EA80-4202-95A1-07594B02BF89}"/>
</file>

<file path=customXml/itemProps5.xml><?xml version="1.0" encoding="utf-8"?>
<ds:datastoreItem xmlns:ds="http://schemas.openxmlformats.org/officeDocument/2006/customXml" ds:itemID="{2C0CBFB8-A40B-4FEB-BAC0-177C34397B71}"/>
</file>

<file path=customXml/itemProps6.xml><?xml version="1.0" encoding="utf-8"?>
<ds:datastoreItem xmlns:ds="http://schemas.openxmlformats.org/officeDocument/2006/customXml" ds:itemID="{628982D6-77A1-46B9-A12F-59208D353BAD}"/>
</file>

<file path=docProps/app.xml><?xml version="1.0" encoding="utf-8"?>
<Properties xmlns="http://schemas.openxmlformats.org/officeDocument/2006/extended-properties" xmlns:vt="http://schemas.openxmlformats.org/officeDocument/2006/docPropsVTypes">
  <Template>Maatietopalvelu kyselyvastaus</Template>
  <TotalTime>0</TotalTime>
  <Pages>19</Pages>
  <Words>6992</Words>
  <Characters>56641</Characters>
  <Application>Microsoft Office Word</Application>
  <DocSecurity>0</DocSecurity>
  <Lines>472</Lines>
  <Paragraphs>127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 Poliittinen tilanne, turvallisuustilanne, ihmisoikeusrikkomukset, oikeusvaltion tilanne, viranomaissuojelun saatavuus, ilmaisun- ja mielipiteenvapaus // Georgia / Political situation, security situation, human rights violations, rule of law, acc</dc:title>
  <dc:creator/>
  <cp:lastModifiedBy/>
  <cp:revision>1</cp:revision>
  <dcterms:created xsi:type="dcterms:W3CDTF">2026-02-25T11:04:00Z</dcterms:created>
  <dcterms:modified xsi:type="dcterms:W3CDTF">2026-03-18T14:12:00Z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f1c29dc8-7cc7-4fbb-bf90-b275b2b5bd60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62;#Georgia|b7058126-17e4-4908-9cba-1604f88f04c1</vt:lpwstr>
  </property>
  <property fmtid="{D5CDD505-2E9C-101B-9397-08002B2CF9AE}" pid="9" name="COIInformTypeMM">
    <vt:lpwstr>4;#Response to COI Query|74af11f0-82c2-4825-bd8f-d6b1cac3a3aa</vt:lpwstr>
  </property>
</Properties>
</file>